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5A89" w14:textId="77777777" w:rsidR="00AA0E95" w:rsidRPr="002902AB" w:rsidRDefault="00D575EA" w:rsidP="002902AB">
      <w:pPr>
        <w:spacing w:after="0" w:line="240" w:lineRule="auto"/>
        <w:jc w:val="center"/>
        <w:rPr>
          <w:b/>
          <w:sz w:val="22"/>
          <w:szCs w:val="22"/>
        </w:rPr>
      </w:pPr>
      <w:r w:rsidRPr="002902AB">
        <w:rPr>
          <w:b/>
          <w:sz w:val="22"/>
          <w:szCs w:val="22"/>
        </w:rPr>
        <w:t>Соглашение о конфиденциальности</w:t>
      </w:r>
    </w:p>
    <w:p w14:paraId="7F773061" w14:textId="77777777" w:rsidR="00AA0E95" w:rsidRPr="002902AB" w:rsidRDefault="00AA0E95" w:rsidP="002902AB">
      <w:pPr>
        <w:spacing w:after="0" w:line="240" w:lineRule="auto"/>
        <w:rPr>
          <w:sz w:val="22"/>
          <w:szCs w:val="22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035"/>
        <w:gridCol w:w="2989"/>
        <w:gridCol w:w="3048"/>
      </w:tblGrid>
      <w:tr w:rsidR="00AA0E95" w:rsidRPr="002902AB" w14:paraId="5DC4DCFE" w14:textId="77777777">
        <w:tc>
          <w:tcPr>
            <w:tcW w:w="3035" w:type="dxa"/>
            <w:vAlign w:val="center"/>
          </w:tcPr>
          <w:p w14:paraId="1A87E7C3" w14:textId="77777777" w:rsidR="00AA0E95" w:rsidRPr="002902AB" w:rsidRDefault="00D575EA" w:rsidP="002902AB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902AB">
              <w:rPr>
                <w:b/>
                <w:sz w:val="22"/>
                <w:szCs w:val="22"/>
              </w:rPr>
              <w:t>г. Минск</w:t>
            </w:r>
          </w:p>
        </w:tc>
        <w:tc>
          <w:tcPr>
            <w:tcW w:w="2989" w:type="dxa"/>
            <w:vAlign w:val="center"/>
          </w:tcPr>
          <w:p w14:paraId="6AD2D451" w14:textId="77777777" w:rsidR="00AA0E95" w:rsidRPr="002902AB" w:rsidRDefault="00AA0E95" w:rsidP="002902AB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048" w:type="dxa"/>
            <w:vAlign w:val="center"/>
          </w:tcPr>
          <w:p w14:paraId="35281546" w14:textId="39C60E41" w:rsidR="00AA0E95" w:rsidRPr="002902AB" w:rsidRDefault="00D575EA" w:rsidP="002902AB">
            <w:pPr>
              <w:spacing w:after="0" w:line="240" w:lineRule="auto"/>
              <w:jc w:val="right"/>
              <w:rPr>
                <w:b/>
                <w:sz w:val="22"/>
                <w:szCs w:val="22"/>
              </w:rPr>
            </w:pPr>
            <w:bookmarkStart w:id="0" w:name="ТекстовоеПоле2"/>
            <w:r w:rsidRPr="002902AB">
              <w:rPr>
                <w:b/>
                <w:sz w:val="22"/>
                <w:szCs w:val="22"/>
              </w:rPr>
              <w:t>«</w:t>
            </w:r>
            <w:bookmarkEnd w:id="0"/>
            <w:r w:rsidRPr="002902AB">
              <w:rPr>
                <w:b/>
                <w:sz w:val="22"/>
                <w:szCs w:val="22"/>
              </w:rPr>
              <w:t xml:space="preserve">__» </w:t>
            </w:r>
            <w:r w:rsidRPr="002902AB">
              <w:rPr>
                <w:b/>
                <w:sz w:val="22"/>
                <w:szCs w:val="22"/>
                <w:lang w:val="en-US"/>
              </w:rPr>
              <w:t>________</w:t>
            </w:r>
            <w:r w:rsidRPr="002902AB">
              <w:rPr>
                <w:b/>
                <w:sz w:val="22"/>
                <w:szCs w:val="22"/>
              </w:rPr>
              <w:t xml:space="preserve"> </w:t>
            </w:r>
            <w:r w:rsidR="00340FC9" w:rsidRPr="002902AB">
              <w:rPr>
                <w:b/>
                <w:sz w:val="22"/>
                <w:szCs w:val="22"/>
              </w:rPr>
              <w:t>20</w:t>
            </w:r>
            <w:r w:rsidR="00340FC9" w:rsidRPr="002902AB">
              <w:rPr>
                <w:b/>
                <w:sz w:val="22"/>
                <w:szCs w:val="22"/>
                <w:lang w:val="en-US"/>
              </w:rPr>
              <w:t>2</w:t>
            </w:r>
            <w:r w:rsidR="00C83EED">
              <w:rPr>
                <w:b/>
                <w:sz w:val="22"/>
                <w:szCs w:val="22"/>
              </w:rPr>
              <w:t>6</w:t>
            </w:r>
            <w:r w:rsidR="00340FC9" w:rsidRPr="002902AB">
              <w:rPr>
                <w:b/>
                <w:sz w:val="22"/>
                <w:szCs w:val="22"/>
              </w:rPr>
              <w:t xml:space="preserve"> </w:t>
            </w:r>
            <w:r w:rsidRPr="002902AB">
              <w:rPr>
                <w:b/>
                <w:sz w:val="22"/>
                <w:szCs w:val="22"/>
              </w:rPr>
              <w:t>г.</w:t>
            </w:r>
          </w:p>
        </w:tc>
      </w:tr>
    </w:tbl>
    <w:p w14:paraId="645EEFD0" w14:textId="77777777" w:rsidR="00AA0E95" w:rsidRPr="002902AB" w:rsidRDefault="00AA0E95" w:rsidP="002902AB">
      <w:pPr>
        <w:spacing w:after="0" w:line="240" w:lineRule="auto"/>
        <w:rPr>
          <w:sz w:val="22"/>
          <w:szCs w:val="22"/>
        </w:rPr>
      </w:pPr>
    </w:p>
    <w:p w14:paraId="3958F324" w14:textId="6C4F676C" w:rsidR="00AA0E95" w:rsidRPr="002902AB" w:rsidRDefault="00D575EA" w:rsidP="002902AB">
      <w:pPr>
        <w:spacing w:after="0" w:line="240" w:lineRule="auto"/>
        <w:ind w:firstLine="709"/>
        <w:jc w:val="both"/>
        <w:rPr>
          <w:sz w:val="22"/>
          <w:szCs w:val="22"/>
        </w:rPr>
      </w:pPr>
      <w:r w:rsidRPr="002902AB">
        <w:rPr>
          <w:b/>
          <w:color w:val="000000" w:themeColor="text1"/>
          <w:sz w:val="22"/>
          <w:szCs w:val="22"/>
        </w:rPr>
        <w:t>__________________,</w:t>
      </w:r>
      <w:r w:rsidRPr="002902AB">
        <w:rPr>
          <w:color w:val="000000" w:themeColor="text1"/>
          <w:sz w:val="22"/>
          <w:szCs w:val="22"/>
        </w:rPr>
        <w:t xml:space="preserve"> именуемое далее «Принимающая сторона», в лице генерального ___________________, действующего на основании _____________, с одной стороны, и</w:t>
      </w:r>
      <w:bookmarkStart w:id="1" w:name="контрагент"/>
      <w:r w:rsidRPr="002902AB">
        <w:rPr>
          <w:color w:val="000000" w:themeColor="text1"/>
          <w:sz w:val="22"/>
          <w:szCs w:val="22"/>
        </w:rPr>
        <w:t xml:space="preserve"> </w:t>
      </w:r>
      <w:r w:rsidRPr="002902AB">
        <w:rPr>
          <w:b/>
          <w:color w:val="000000" w:themeColor="text1"/>
          <w:sz w:val="22"/>
          <w:szCs w:val="22"/>
        </w:rPr>
        <w:t>ЗАО «</w:t>
      </w:r>
      <w:proofErr w:type="spellStart"/>
      <w:r w:rsidRPr="002902AB">
        <w:rPr>
          <w:b/>
          <w:color w:val="000000" w:themeColor="text1"/>
          <w:sz w:val="22"/>
          <w:szCs w:val="22"/>
        </w:rPr>
        <w:t>МТБанк</w:t>
      </w:r>
      <w:proofErr w:type="spellEnd"/>
      <w:r w:rsidRPr="002902AB">
        <w:rPr>
          <w:b/>
          <w:color w:val="000000" w:themeColor="text1"/>
          <w:sz w:val="22"/>
          <w:szCs w:val="22"/>
        </w:rPr>
        <w:t>»</w:t>
      </w:r>
      <w:bookmarkEnd w:id="1"/>
      <w:r w:rsidRPr="002902AB">
        <w:rPr>
          <w:b/>
          <w:color w:val="000000" w:themeColor="text1"/>
          <w:sz w:val="22"/>
          <w:szCs w:val="22"/>
        </w:rPr>
        <w:t xml:space="preserve">, </w:t>
      </w:r>
      <w:r w:rsidRPr="002902AB">
        <w:rPr>
          <w:color w:val="000000" w:themeColor="text1"/>
          <w:sz w:val="22"/>
          <w:szCs w:val="22"/>
        </w:rPr>
        <w:t>именуемое далее «Передающая сторона</w:t>
      </w:r>
      <w:r w:rsidRPr="002902AB">
        <w:rPr>
          <w:sz w:val="22"/>
          <w:szCs w:val="22"/>
        </w:rPr>
        <w:t xml:space="preserve">», в лице Начальника управления маркетинга </w:t>
      </w:r>
      <w:r w:rsidR="00C83EED">
        <w:rPr>
          <w:sz w:val="22"/>
          <w:szCs w:val="22"/>
        </w:rPr>
        <w:t>Голенко Е</w:t>
      </w:r>
      <w:r w:rsidRPr="002902AB">
        <w:rPr>
          <w:sz w:val="22"/>
          <w:szCs w:val="22"/>
        </w:rPr>
        <w:t>.Т., действующей на основании Доверенности № 007-0</w:t>
      </w:r>
      <w:r w:rsidR="00C83EED">
        <w:rPr>
          <w:sz w:val="22"/>
          <w:szCs w:val="22"/>
        </w:rPr>
        <w:t>3</w:t>
      </w:r>
      <w:r w:rsidRPr="002902AB">
        <w:rPr>
          <w:sz w:val="22"/>
          <w:szCs w:val="22"/>
        </w:rPr>
        <w:t>/</w:t>
      </w:r>
      <w:r w:rsidR="00C83EED">
        <w:rPr>
          <w:sz w:val="22"/>
          <w:szCs w:val="22"/>
        </w:rPr>
        <w:t>22</w:t>
      </w:r>
      <w:r w:rsidRPr="002902AB">
        <w:rPr>
          <w:sz w:val="22"/>
          <w:szCs w:val="22"/>
        </w:rPr>
        <w:t xml:space="preserve"> </w:t>
      </w:r>
      <w:r w:rsidR="006C370F" w:rsidRPr="002902AB">
        <w:rPr>
          <w:sz w:val="22"/>
          <w:szCs w:val="22"/>
        </w:rPr>
        <w:t>о</w:t>
      </w:r>
      <w:r w:rsidRPr="002902AB">
        <w:rPr>
          <w:sz w:val="22"/>
          <w:szCs w:val="22"/>
        </w:rPr>
        <w:t xml:space="preserve">т </w:t>
      </w:r>
      <w:r w:rsidR="00C83EED">
        <w:rPr>
          <w:sz w:val="22"/>
          <w:szCs w:val="22"/>
        </w:rPr>
        <w:t>15</w:t>
      </w:r>
      <w:r w:rsidR="005B5A14">
        <w:rPr>
          <w:sz w:val="22"/>
          <w:szCs w:val="22"/>
        </w:rPr>
        <w:t>.0</w:t>
      </w:r>
      <w:r w:rsidR="00C83EED">
        <w:rPr>
          <w:sz w:val="22"/>
          <w:szCs w:val="22"/>
        </w:rPr>
        <w:t>1</w:t>
      </w:r>
      <w:r w:rsidRPr="002902AB">
        <w:rPr>
          <w:sz w:val="22"/>
          <w:szCs w:val="22"/>
        </w:rPr>
        <w:t>.202</w:t>
      </w:r>
      <w:r w:rsidR="00C83EED">
        <w:rPr>
          <w:sz w:val="22"/>
          <w:szCs w:val="22"/>
        </w:rPr>
        <w:t>6</w:t>
      </w:r>
      <w:r w:rsidRPr="002902AB">
        <w:rPr>
          <w:sz w:val="22"/>
          <w:szCs w:val="22"/>
        </w:rPr>
        <w:t>, с другой стороны, заключили настоящее соглашение (здесь и далее – «Соглашение») о нижеследующем:</w:t>
      </w:r>
    </w:p>
    <w:p w14:paraId="5ECDF0B5" w14:textId="77777777" w:rsidR="002902AB" w:rsidRPr="002902AB" w:rsidRDefault="002902AB" w:rsidP="002902AB">
      <w:pPr>
        <w:spacing w:after="0" w:line="240" w:lineRule="auto"/>
        <w:ind w:firstLine="709"/>
        <w:jc w:val="both"/>
        <w:rPr>
          <w:sz w:val="22"/>
          <w:szCs w:val="22"/>
        </w:rPr>
      </w:pPr>
    </w:p>
    <w:p w14:paraId="247487B8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Предмет соглашения</w:t>
      </w:r>
    </w:p>
    <w:p w14:paraId="62CCD995" w14:textId="77777777" w:rsidR="00287F84" w:rsidRDefault="00287F84" w:rsidP="00287F84">
      <w:pPr>
        <w:pStyle w:val="af8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>Настоящее Соглашение регулирует отношения между Сторонами по передаче, использованию и обеспечению сохранности информации, в отношении которой Передающей стороной установлен режим конфиденциальности, а также обязанности и ответственность Принимающей стороны в данной связи.</w:t>
      </w:r>
    </w:p>
    <w:p w14:paraId="74D3579B" w14:textId="77777777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</w:p>
    <w:p w14:paraId="48EBF60E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Термины и определения</w:t>
      </w:r>
    </w:p>
    <w:p w14:paraId="46FB9DA5" w14:textId="0C6396E8" w:rsidR="00287F84" w:rsidRPr="00287F84" w:rsidRDefault="00287F84" w:rsidP="00287F84">
      <w:pPr>
        <w:pStyle w:val="af8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633"/>
        <w:jc w:val="both"/>
        <w:rPr>
          <w:sz w:val="22"/>
          <w:szCs w:val="22"/>
        </w:rPr>
      </w:pPr>
      <w:r w:rsidRPr="00287F84">
        <w:rPr>
          <w:sz w:val="22"/>
          <w:szCs w:val="22"/>
        </w:rPr>
        <w:t>Конфиденциальная информация (информация, в отношении которой установлен режим конфиденциальности) – сведения любого характера, относящиеся в соответствии с применимым правом к персональным данным, банковской, служебной тайне (служебной информации ограниченного распространения), либо сведения, в отношении которых Стороной Соглашения в соответствии с применимым правом установлен режим коммерческой тайны, а также любые другие сведения, в отношении которых Стороной Соглашения заявлено требование об их конфиденциальности, которые принадлежат одной из Сторон Соглашения, или на которую Сторона Соглашения получила определенные полномочия по их использованию.</w:t>
      </w:r>
    </w:p>
    <w:p w14:paraId="29E4C952" w14:textId="0A93BB38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В частности, к </w:t>
      </w:r>
      <w:r w:rsidR="00287F84">
        <w:rPr>
          <w:sz w:val="22"/>
          <w:szCs w:val="22"/>
        </w:rPr>
        <w:t>К</w:t>
      </w:r>
      <w:r w:rsidRPr="002902AB">
        <w:rPr>
          <w:sz w:val="22"/>
          <w:szCs w:val="22"/>
        </w:rPr>
        <w:t>онфиденциальной информации относится:</w:t>
      </w:r>
    </w:p>
    <w:p w14:paraId="490C0FE7" w14:textId="4CE287C0" w:rsidR="00AA0E95" w:rsidRPr="0056331C" w:rsidRDefault="00D575EA" w:rsidP="0056331C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56331C">
        <w:rPr>
          <w:sz w:val="22"/>
          <w:szCs w:val="22"/>
        </w:rPr>
        <w:t xml:space="preserve">вся информация (бюджет, квалификационные требования, инструменты, используемые для размещения в интернете и т.д.), указанная в конкурсных документах для участия в </w:t>
      </w:r>
      <w:r w:rsidR="001E02BC">
        <w:rPr>
          <w:sz w:val="22"/>
          <w:szCs w:val="22"/>
        </w:rPr>
        <w:t xml:space="preserve">закрытом </w:t>
      </w:r>
      <w:r w:rsidRPr="0056331C">
        <w:rPr>
          <w:sz w:val="22"/>
          <w:szCs w:val="22"/>
        </w:rPr>
        <w:t>конкурсе №</w:t>
      </w:r>
      <w:r w:rsidR="00C83EED">
        <w:t>______</w:t>
      </w:r>
      <w:r w:rsidRPr="0056331C">
        <w:rPr>
          <w:sz w:val="22"/>
          <w:szCs w:val="22"/>
        </w:rPr>
        <w:t xml:space="preserve">, проводимом Передающей стороной, на закупку </w:t>
      </w:r>
      <w:r w:rsidR="00340FC9" w:rsidRPr="00340FC9">
        <w:rPr>
          <w:sz w:val="22"/>
          <w:szCs w:val="22"/>
        </w:rPr>
        <w:t>Услуги по размещению медийной рекламы банка в интернете.</w:t>
      </w:r>
      <w:r w:rsidR="00340FC9" w:rsidRPr="00340FC9" w:rsidDel="00340FC9">
        <w:rPr>
          <w:sz w:val="22"/>
          <w:szCs w:val="22"/>
        </w:rPr>
        <w:t xml:space="preserve"> </w:t>
      </w:r>
      <w:r w:rsidR="002902AB" w:rsidRPr="0056331C">
        <w:rPr>
          <w:sz w:val="22"/>
          <w:szCs w:val="22"/>
        </w:rPr>
        <w:t>(далее – процедура закупки), а также ставшая известной Принимающей стороне в процессе проведения процедура закупки</w:t>
      </w:r>
      <w:r w:rsidRPr="0056331C">
        <w:rPr>
          <w:sz w:val="22"/>
          <w:szCs w:val="22"/>
        </w:rPr>
        <w:t>.</w:t>
      </w:r>
    </w:p>
    <w:p w14:paraId="6ECAE4D6" w14:textId="77777777" w:rsidR="00AA0E95" w:rsidRPr="002902AB" w:rsidRDefault="00D575EA" w:rsidP="002902AB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информация, составляющая сведения о способах осуществления Передающей стороной профессиональной деятельности, о продукции Передающей стороны и ее стоимости, финансовых вопросах, планах сбыта (маркетинга), деловых возможностях, персонале, используемых технологиях Принимающей стороной;</w:t>
      </w:r>
    </w:p>
    <w:p w14:paraId="0B7B6BE9" w14:textId="77777777" w:rsidR="00AA0E95" w:rsidRPr="002902AB" w:rsidRDefault="00D575EA" w:rsidP="002902AB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сведения о содержании деловых переговоров, обсуждений, или консультаций Сторон Соглашения;</w:t>
      </w:r>
    </w:p>
    <w:p w14:paraId="0458D8B2" w14:textId="715B5E5A" w:rsidR="00AA0E95" w:rsidRPr="002902AB" w:rsidRDefault="00D575EA" w:rsidP="002902AB">
      <w:pPr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любая иная информация, оформленная в письменной </w:t>
      </w:r>
      <w:r w:rsidR="00601E0B">
        <w:rPr>
          <w:sz w:val="22"/>
          <w:szCs w:val="22"/>
        </w:rPr>
        <w:t>форме или в электронном виде</w:t>
      </w:r>
      <w:r w:rsidRPr="002902AB">
        <w:rPr>
          <w:sz w:val="22"/>
          <w:szCs w:val="22"/>
        </w:rPr>
        <w:t>, если такая информация явно обозначена</w:t>
      </w:r>
      <w:r w:rsidR="00601E0B">
        <w:rPr>
          <w:sz w:val="22"/>
          <w:szCs w:val="22"/>
        </w:rPr>
        <w:t xml:space="preserve"> Передающей стороной</w:t>
      </w:r>
      <w:r w:rsidRPr="002902AB">
        <w:rPr>
          <w:sz w:val="22"/>
          <w:szCs w:val="22"/>
        </w:rPr>
        <w:t xml:space="preserve"> как Конфиденциальная информация, </w:t>
      </w:r>
      <w:r w:rsidR="00601E0B">
        <w:rPr>
          <w:sz w:val="22"/>
          <w:szCs w:val="22"/>
        </w:rPr>
        <w:t xml:space="preserve">использованием грифов </w:t>
      </w:r>
      <w:r w:rsidRPr="002902AB">
        <w:rPr>
          <w:sz w:val="22"/>
          <w:szCs w:val="22"/>
        </w:rPr>
        <w:t xml:space="preserve">«Конфиденциально», «Коммерческая тайна», «Информация для служебного пользования» или </w:t>
      </w:r>
      <w:r w:rsidR="00601E0B">
        <w:rPr>
          <w:sz w:val="22"/>
          <w:szCs w:val="22"/>
        </w:rPr>
        <w:t>иное</w:t>
      </w:r>
      <w:r w:rsidR="00601E0B" w:rsidRPr="002902AB">
        <w:rPr>
          <w:sz w:val="22"/>
          <w:szCs w:val="22"/>
        </w:rPr>
        <w:t xml:space="preserve"> </w:t>
      </w:r>
      <w:r w:rsidRPr="002902AB">
        <w:rPr>
          <w:sz w:val="22"/>
          <w:szCs w:val="22"/>
        </w:rPr>
        <w:t>аналогичное обозначение.</w:t>
      </w:r>
    </w:p>
    <w:p w14:paraId="5F7DD717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Информация, предоставленная в устной форме, будет считаться конфиденциальной информацией только в том случае, если в момент передачи будет идентифицирована как конфиденциальная информация, информация, составляющая коммерческую тайну, информация для служебного пользования или аналогичным образом, и при условии предоставления Передающей Стороной Принимающей Стороне письменного подтверждения об установлении режима конфиденциальности в отношении указанной информации в течение 10 (десяти) дней после ее передачи.</w:t>
      </w:r>
    </w:p>
    <w:p w14:paraId="79B1708F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Факты передачи Конфиденциальной информации могут подтверждаться справками, корреспонденцией, актами, иными документами и материалами, в том числе полученными посредством факсимильной, электронной или иной связи либо другим допустимым способом.</w:t>
      </w:r>
    </w:p>
    <w:p w14:paraId="0A8C6E08" w14:textId="77777777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Передача Конфиденциальной информации посредством сети Интернет производится исключительно в защищенном виде, обеспечивающем ее конфиденциальность (например, в </w:t>
      </w:r>
      <w:r w:rsidRPr="002902AB">
        <w:rPr>
          <w:sz w:val="22"/>
          <w:szCs w:val="22"/>
        </w:rPr>
        <w:lastRenderedPageBreak/>
        <w:t xml:space="preserve">шифрованном СКЗИ (средствами криптографической защиты информации) виде или, как исключение, по предварительному согласованию Сторон допускается использование архива, защищенного сложным паролем, длина которого не менее 11 символов и содержит прописные и строчные буквы, цифры и специальные символы. Пароль запрещается передавать тем же каналом связи, что и архив) используя указанные </w:t>
      </w:r>
      <w:proofErr w:type="spellStart"/>
      <w:r w:rsidRPr="002902AB">
        <w:rPr>
          <w:sz w:val="22"/>
          <w:szCs w:val="22"/>
        </w:rPr>
        <w:t>e-mail</w:t>
      </w:r>
      <w:proofErr w:type="spellEnd"/>
      <w:r w:rsidRPr="002902AB">
        <w:rPr>
          <w:sz w:val="22"/>
          <w:szCs w:val="22"/>
        </w:rPr>
        <w:t xml:space="preserve"> адреса Сторон:</w:t>
      </w:r>
    </w:p>
    <w:p w14:paraId="4865EA78" w14:textId="4D10596A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Принимающая сторона: _______________________;</w:t>
      </w:r>
    </w:p>
    <w:p w14:paraId="34BE3F89" w14:textId="4ECB4BBC" w:rsidR="00AA0E95" w:rsidRPr="002902AB" w:rsidRDefault="002902AB" w:rsidP="002902AB">
      <w:pPr>
        <w:spacing w:after="0" w:line="240" w:lineRule="auto"/>
        <w:ind w:firstLine="708"/>
        <w:jc w:val="both"/>
        <w:rPr>
          <w:rStyle w:val="af3"/>
          <w:sz w:val="22"/>
          <w:szCs w:val="22"/>
        </w:rPr>
      </w:pPr>
      <w:r w:rsidRPr="002902AB">
        <w:rPr>
          <w:sz w:val="22"/>
          <w:szCs w:val="22"/>
        </w:rPr>
        <w:t>Передающая сторона:</w:t>
      </w:r>
      <w:r w:rsidRPr="002902AB">
        <w:rPr>
          <w:rStyle w:val="af3"/>
          <w:color w:val="000000" w:themeColor="text1"/>
          <w:sz w:val="22"/>
          <w:szCs w:val="22"/>
        </w:rPr>
        <w:t xml:space="preserve"> tender@mtbank.by</w:t>
      </w:r>
      <w:r w:rsidRPr="002902AB">
        <w:rPr>
          <w:sz w:val="22"/>
          <w:szCs w:val="22"/>
        </w:rPr>
        <w:t>.</w:t>
      </w:r>
    </w:p>
    <w:p w14:paraId="032987AB" w14:textId="77777777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</w:p>
    <w:p w14:paraId="019831CE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Область применения</w:t>
      </w:r>
    </w:p>
    <w:p w14:paraId="1E63C4CE" w14:textId="466E4E49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Настоящее Соглашение применимо ко всей конфиденциальной информации, переданной одной Стороной другой Стороне, или ставшей известной одной из Сторон, в связи с подготовкой конкурсных документов и участием в </w:t>
      </w:r>
      <w:r w:rsidR="002902AB" w:rsidRPr="002902AB">
        <w:rPr>
          <w:sz w:val="22"/>
          <w:szCs w:val="22"/>
        </w:rPr>
        <w:t>процедуре закупки</w:t>
      </w:r>
      <w:r w:rsidRPr="002902AB">
        <w:rPr>
          <w:sz w:val="22"/>
          <w:szCs w:val="22"/>
        </w:rPr>
        <w:t xml:space="preserve">. Настоящее Соглашение применимо к конфиденциальной информации аффилированных лиц Сторон и обязательства по неразглашению, установленные настоящим Соглашением, распространяются на </w:t>
      </w:r>
      <w:r w:rsidR="00601E0B">
        <w:rPr>
          <w:sz w:val="22"/>
          <w:szCs w:val="22"/>
        </w:rPr>
        <w:t xml:space="preserve">таких </w:t>
      </w:r>
      <w:r w:rsidRPr="002902AB">
        <w:rPr>
          <w:sz w:val="22"/>
          <w:szCs w:val="22"/>
        </w:rPr>
        <w:t>лиц Сторон.</w:t>
      </w:r>
    </w:p>
    <w:p w14:paraId="039CBCCC" w14:textId="77777777" w:rsidR="002902AB" w:rsidRPr="002902AB" w:rsidRDefault="002902AB" w:rsidP="002902AB">
      <w:pPr>
        <w:spacing w:after="0" w:line="240" w:lineRule="auto"/>
        <w:ind w:firstLine="708"/>
        <w:jc w:val="both"/>
        <w:rPr>
          <w:sz w:val="22"/>
          <w:szCs w:val="22"/>
        </w:rPr>
      </w:pPr>
    </w:p>
    <w:p w14:paraId="7481DB37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Обязательства сторон</w:t>
      </w:r>
    </w:p>
    <w:p w14:paraId="34C3B8A7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Принимающая сторона принимает на себя обязательства:</w:t>
      </w:r>
    </w:p>
    <w:p w14:paraId="538FB941" w14:textId="1E9F53A0" w:rsidR="00AA0E95" w:rsidRPr="002902AB" w:rsidRDefault="00601E0B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Обеспечивать сохранность Конфиденциальной информации</w:t>
      </w:r>
      <w:r w:rsidR="00D575EA" w:rsidRPr="002902AB">
        <w:rPr>
          <w:sz w:val="22"/>
          <w:szCs w:val="22"/>
        </w:rPr>
        <w:t xml:space="preserve"> в течение </w:t>
      </w:r>
      <w:r w:rsidR="00551135">
        <w:rPr>
          <w:sz w:val="22"/>
          <w:szCs w:val="22"/>
        </w:rPr>
        <w:t>указанного в п. 9 Соглашения срока</w:t>
      </w:r>
      <w:r w:rsidR="00D575EA" w:rsidRPr="002902AB">
        <w:rPr>
          <w:sz w:val="22"/>
          <w:szCs w:val="22"/>
        </w:rPr>
        <w:t xml:space="preserve">. Передающей стороной может быть установлен более длительный срок охраны </w:t>
      </w:r>
      <w:r>
        <w:rPr>
          <w:sz w:val="22"/>
          <w:szCs w:val="22"/>
        </w:rPr>
        <w:t>К</w:t>
      </w:r>
      <w:r w:rsidR="00D575EA" w:rsidRPr="002902AB">
        <w:rPr>
          <w:sz w:val="22"/>
          <w:szCs w:val="22"/>
        </w:rPr>
        <w:t>онфиденциально</w:t>
      </w:r>
      <w:r>
        <w:rPr>
          <w:sz w:val="22"/>
          <w:szCs w:val="22"/>
        </w:rPr>
        <w:t>й информации</w:t>
      </w:r>
      <w:r w:rsidR="00D575EA" w:rsidRPr="002902AB">
        <w:rPr>
          <w:sz w:val="22"/>
          <w:szCs w:val="22"/>
        </w:rPr>
        <w:t xml:space="preserve"> определенного вида. В этом случае Принимающая Сторона обязуется </w:t>
      </w:r>
      <w:r>
        <w:rPr>
          <w:sz w:val="22"/>
          <w:szCs w:val="22"/>
        </w:rPr>
        <w:t xml:space="preserve">обеспечивать </w:t>
      </w:r>
      <w:r w:rsidR="00D575EA" w:rsidRPr="002902AB">
        <w:rPr>
          <w:sz w:val="22"/>
          <w:szCs w:val="22"/>
        </w:rPr>
        <w:t>конфиденциальность такой информации в течение установленного для нее более длительного срока. О более длительном сроке охраны конфиденциальности информации Передающая сторона должна письменно уведомить Принимающую сторону</w:t>
      </w:r>
      <w:r w:rsidR="00226DEB">
        <w:rPr>
          <w:sz w:val="22"/>
          <w:szCs w:val="22"/>
        </w:rPr>
        <w:t>;</w:t>
      </w:r>
      <w:r w:rsidR="00D575EA" w:rsidRPr="002902AB">
        <w:rPr>
          <w:sz w:val="22"/>
          <w:szCs w:val="22"/>
        </w:rPr>
        <w:t xml:space="preserve"> </w:t>
      </w:r>
    </w:p>
    <w:p w14:paraId="4BC2E39B" w14:textId="62030452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Использовать конфиденциальную информацию </w:t>
      </w:r>
      <w:r w:rsidR="002902AB" w:rsidRPr="002902AB">
        <w:rPr>
          <w:sz w:val="22"/>
          <w:szCs w:val="22"/>
        </w:rPr>
        <w:t xml:space="preserve">исключительно </w:t>
      </w:r>
      <w:r w:rsidRPr="002902AB">
        <w:rPr>
          <w:sz w:val="22"/>
          <w:szCs w:val="22"/>
        </w:rPr>
        <w:t xml:space="preserve">в целях подготовки конкурсного предложения для участия в </w:t>
      </w:r>
      <w:r w:rsidR="002902AB" w:rsidRPr="002902AB">
        <w:rPr>
          <w:sz w:val="22"/>
          <w:szCs w:val="22"/>
        </w:rPr>
        <w:t>процедуре закупки</w:t>
      </w:r>
      <w:r w:rsidRPr="002902AB">
        <w:rPr>
          <w:sz w:val="22"/>
          <w:szCs w:val="22"/>
        </w:rPr>
        <w:t xml:space="preserve"> и участия в </w:t>
      </w:r>
      <w:r w:rsidR="002902AB" w:rsidRPr="002902AB">
        <w:rPr>
          <w:sz w:val="22"/>
          <w:szCs w:val="22"/>
        </w:rPr>
        <w:t>процедуре закупки</w:t>
      </w:r>
      <w:r w:rsidR="00226DEB">
        <w:rPr>
          <w:sz w:val="22"/>
          <w:szCs w:val="22"/>
          <w:u w:val="single"/>
        </w:rPr>
        <w:t>;</w:t>
      </w:r>
    </w:p>
    <w:p w14:paraId="706B8491" w14:textId="72AE21A7" w:rsidR="00601E0B" w:rsidRDefault="002902AB" w:rsidP="00601E0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Регулировать вопросы допуска к </w:t>
      </w:r>
      <w:r w:rsidR="00601E0B">
        <w:rPr>
          <w:sz w:val="22"/>
          <w:szCs w:val="22"/>
        </w:rPr>
        <w:t>К</w:t>
      </w:r>
      <w:r w:rsidRPr="002902AB">
        <w:rPr>
          <w:sz w:val="22"/>
          <w:szCs w:val="22"/>
        </w:rPr>
        <w:t xml:space="preserve">онфиденциальной информации в соответствии со своими внутренними документами, </w:t>
      </w:r>
      <w:r w:rsidR="00601E0B">
        <w:rPr>
          <w:sz w:val="22"/>
          <w:szCs w:val="22"/>
        </w:rPr>
        <w:t>проявляя при этом ту же степень заботы и осмотрительности</w:t>
      </w:r>
      <w:r w:rsidR="00601E0B" w:rsidRPr="002902AB" w:rsidDel="00601E0B">
        <w:rPr>
          <w:sz w:val="22"/>
          <w:szCs w:val="22"/>
        </w:rPr>
        <w:t xml:space="preserve"> </w:t>
      </w:r>
      <w:r w:rsidRPr="002902AB">
        <w:rPr>
          <w:sz w:val="22"/>
          <w:szCs w:val="22"/>
        </w:rPr>
        <w:t>во избежание ее разглашения и использования</w:t>
      </w:r>
      <w:r w:rsidR="00601E0B">
        <w:rPr>
          <w:sz w:val="22"/>
          <w:szCs w:val="22"/>
        </w:rPr>
        <w:t xml:space="preserve"> Конфиденциальной информации Передающей стороны в нарушение условий настоящего Соглашения</w:t>
      </w:r>
      <w:r w:rsidRPr="002902AB">
        <w:rPr>
          <w:sz w:val="22"/>
          <w:szCs w:val="22"/>
        </w:rPr>
        <w:t xml:space="preserve">, </w:t>
      </w:r>
      <w:r w:rsidR="00601E0B">
        <w:rPr>
          <w:sz w:val="22"/>
          <w:szCs w:val="22"/>
        </w:rPr>
        <w:t>какую</w:t>
      </w:r>
      <w:r w:rsidR="00601E0B" w:rsidRPr="002902AB">
        <w:rPr>
          <w:sz w:val="22"/>
          <w:szCs w:val="22"/>
        </w:rPr>
        <w:t xml:space="preserve"> </w:t>
      </w:r>
      <w:r w:rsidR="00601E0B">
        <w:rPr>
          <w:sz w:val="22"/>
          <w:szCs w:val="22"/>
        </w:rPr>
        <w:t>Принимающая с</w:t>
      </w:r>
      <w:r w:rsidRPr="002902AB">
        <w:rPr>
          <w:sz w:val="22"/>
          <w:szCs w:val="22"/>
        </w:rPr>
        <w:t xml:space="preserve">торона </w:t>
      </w:r>
      <w:r w:rsidR="00601E0B">
        <w:rPr>
          <w:sz w:val="22"/>
          <w:szCs w:val="22"/>
        </w:rPr>
        <w:t>проявляет</w:t>
      </w:r>
      <w:r w:rsidRPr="002902AB">
        <w:rPr>
          <w:sz w:val="22"/>
          <w:szCs w:val="22"/>
        </w:rPr>
        <w:t xml:space="preserve"> в отношении собственной Конфиденциальной информации, но ни в коем случае не ниже той степени </w:t>
      </w:r>
      <w:r w:rsidR="00601E0B">
        <w:rPr>
          <w:sz w:val="22"/>
          <w:szCs w:val="22"/>
        </w:rPr>
        <w:t>заботы и осмотрительности</w:t>
      </w:r>
      <w:r w:rsidRPr="002902AB">
        <w:rPr>
          <w:sz w:val="22"/>
          <w:szCs w:val="22"/>
        </w:rPr>
        <w:t>, которая должна быть разумным образом проявлена при соответствующих обстоятельствах</w:t>
      </w:r>
      <w:r w:rsidR="00226DEB">
        <w:rPr>
          <w:sz w:val="22"/>
          <w:szCs w:val="22"/>
        </w:rPr>
        <w:t>;</w:t>
      </w:r>
    </w:p>
    <w:p w14:paraId="0C42882C" w14:textId="7659885E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Не создавать копий документов и иных материальных носителей, содержащих конфиденциальную информацию Передающей </w:t>
      </w:r>
      <w:r w:rsidR="002902AB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тороны, в большем количестве, чем это обычно необходимо для исполнения работниками Принимающей стороны служебных заданий, и уничтожать изготовленные копии, когда необходимость в их использовании явно отпадает, за исключением случаев, когда Принимающая сторона обязана хранить документы и/или их копии и иные материальные носители, содержащие конфиденциальную информацию, в соответствии с действующим законодательством Республики Беларусь;</w:t>
      </w:r>
    </w:p>
    <w:p w14:paraId="6F6EA885" w14:textId="140C98A4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Не передавать, не предоставлять, не разглашать конфиденциальную информацию (в том числе путем обмена, публикации, фотокопирования либо иным другим возможным или допустимым способом) Передающей </w:t>
      </w:r>
      <w:r w:rsidR="00226DEB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тороны без ее письменного согласия третьим лицам;</w:t>
      </w:r>
    </w:p>
    <w:p w14:paraId="0343DA6D" w14:textId="5EDE3039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При обнаружении фактов разглашения (раскрытия) Конфиденциальной информации в течение 1 (одного) часа с момента, когда ей стало известно о разглашении (раскрытии) информации, уведомить об этом Передающую сторону устно посредством телефонной связи и письменно путем отправки сообщения на электронную почту или по факсимильной связи по телефонам и адресам Передающей стороны, указанным в настоящем соглашении, и немедленно принять все возможные меры по предотвращению любого дальнейшего раскрытия. Принимающая сторона не несёт ответственности за нарушение указанного срока уведомления по причине недоступности контактных лиц для связи по указанным в настоящем соглашении контактным данным.</w:t>
      </w:r>
    </w:p>
    <w:p w14:paraId="5D1F2E7C" w14:textId="77777777" w:rsidR="00AA0E95" w:rsidRPr="002902AB" w:rsidRDefault="00AA0E95" w:rsidP="002902AB">
      <w:pPr>
        <w:spacing w:after="0" w:line="240" w:lineRule="auto"/>
        <w:ind w:firstLine="708"/>
        <w:jc w:val="both"/>
        <w:rPr>
          <w:sz w:val="22"/>
          <w:szCs w:val="22"/>
        </w:rPr>
      </w:pPr>
    </w:p>
    <w:p w14:paraId="10472F4E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lastRenderedPageBreak/>
        <w:t>Особые условия</w:t>
      </w:r>
    </w:p>
    <w:p w14:paraId="2D32F6CC" w14:textId="21CE4FC8" w:rsidR="00601E0B" w:rsidRPr="002F03C8" w:rsidRDefault="00601E0B" w:rsidP="002F03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 xml:space="preserve">Принимающая сторона вправе передавать Конфиденциальную информацию Передающей стороны без предварительного письменного согласия Передающей стороны своим работникам, физическим лицам, работающим на Принимающую сторону по гражданско-правовым договорам, работникам аффилированных лиц Принимающей стороны, привлечённых к исполнению совместных договоров (проектов) Сторон настоящего Соглашения, агентам и консультантам Принимающей стороны, которым такая информация необходима для выполнения трудовых (служебных, договорных) обязанностей </w:t>
      </w:r>
      <w:r w:rsidR="002F03C8">
        <w:rPr>
          <w:sz w:val="22"/>
          <w:szCs w:val="22"/>
        </w:rPr>
        <w:t>.</w:t>
      </w:r>
    </w:p>
    <w:p w14:paraId="1732CCB9" w14:textId="77777777" w:rsidR="00601E0B" w:rsidRPr="00897C94" w:rsidRDefault="00601E0B" w:rsidP="002F03C8">
      <w:pPr>
        <w:spacing w:after="0" w:line="240" w:lineRule="auto"/>
        <w:ind w:firstLine="709"/>
        <w:jc w:val="both"/>
        <w:rPr>
          <w:sz w:val="22"/>
          <w:szCs w:val="22"/>
        </w:rPr>
      </w:pPr>
      <w:r w:rsidRPr="00897C94">
        <w:rPr>
          <w:sz w:val="22"/>
          <w:szCs w:val="22"/>
        </w:rPr>
        <w:t>При этом Принимающая сторона обязана заключить или обеспечить заключение с указанными работниками, агентами и консультантами соглашения о неразглашении Конфиденциальной информации с объёмом охраны конфиденциальности</w:t>
      </w:r>
      <w:r>
        <w:rPr>
          <w:sz w:val="22"/>
          <w:szCs w:val="22"/>
        </w:rPr>
        <w:t xml:space="preserve"> не менее </w:t>
      </w:r>
      <w:r w:rsidRPr="00897C94">
        <w:rPr>
          <w:sz w:val="22"/>
          <w:szCs w:val="22"/>
        </w:rPr>
        <w:t>установленно</w:t>
      </w:r>
      <w:r>
        <w:rPr>
          <w:sz w:val="22"/>
          <w:szCs w:val="22"/>
        </w:rPr>
        <w:t>го</w:t>
      </w:r>
      <w:r w:rsidRPr="00897C94">
        <w:rPr>
          <w:sz w:val="22"/>
          <w:szCs w:val="22"/>
        </w:rPr>
        <w:t xml:space="preserve"> настоящим Соглашением. Принимающая сторона несёт ответственность за нарушение требований конфиденциальности любым из таких работников, агентов или консультантов. По требованию Передающей стороны Принимающая сторона обязана предоставить список вышеуказанных работников, агентов и консультантов.</w:t>
      </w:r>
    </w:p>
    <w:p w14:paraId="12E49C2B" w14:textId="77777777" w:rsidR="00601E0B" w:rsidRPr="002F03C8" w:rsidRDefault="00601E0B" w:rsidP="002F03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 xml:space="preserve">Принимающая Сторона вправе без предварительного письменного согласия Передающей стороны предоставлять Конфиденциальную информацию Передающей стороны уполномоченным должностным лицам и государственным органам в случаях, установленных законодательством Республики Беларусь. </w:t>
      </w:r>
    </w:p>
    <w:p w14:paraId="6747D19F" w14:textId="77777777" w:rsidR="00601E0B" w:rsidRPr="002F03C8" w:rsidRDefault="00601E0B" w:rsidP="002F03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>Все переданные Передающей стороной Принимающей стороне в соответствии с настоящим Соглашением документы и материальные носители, на которых записана Конфиденциальная информация, при любых обстоятельствах остаются собственностью Передающей стороны. По указанию Передающей стороны Принимающая сторона возвращает Передающей стороне все документы и материальные носители, содержащие Конфиденциальную информацию Передающей стороны, а также возвращает или уничтожает их копии, за исключением случаев, когда Принимающая сторона обязана хранить документы и/или их копии и иные материальные носители, содержащие Конфиденциальную информацию, в соответствии законодательством Республики Беларусь.</w:t>
      </w:r>
    </w:p>
    <w:p w14:paraId="49419CD9" w14:textId="77777777" w:rsidR="00601E0B" w:rsidRPr="002F03C8" w:rsidRDefault="00601E0B" w:rsidP="002F03C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>С момента переноса Конфиденциальной информации на принадлежащие Принимающей стороне материальные носители, у Передающей стороны возникает право давать Принимающей стороне обязательные для исполнения письменные указания об удалении с этих материальных носителей Конфиденциальной информации, а при невозможности осуществления указанных действий – об уничтожении данных материальных носителей.</w:t>
      </w:r>
    </w:p>
    <w:p w14:paraId="752B13BC" w14:textId="77777777" w:rsidR="00601E0B" w:rsidRDefault="00601E0B" w:rsidP="002F03C8">
      <w:pPr>
        <w:pStyle w:val="af8"/>
        <w:widowControl w:val="0"/>
        <w:spacing w:after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Уничтожение информации должно производится Принимающей стороной до степени невозможности восстановления Конфиденциальной информации, в т.ч. невозможности восстановления информации с носителей информации.</w:t>
      </w:r>
    </w:p>
    <w:p w14:paraId="10A10A83" w14:textId="77777777" w:rsidR="00601E0B" w:rsidRPr="002F03C8" w:rsidRDefault="00601E0B" w:rsidP="002F03C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sz w:val="22"/>
          <w:szCs w:val="22"/>
        </w:rPr>
      </w:pPr>
      <w:r w:rsidRPr="002F03C8">
        <w:rPr>
          <w:sz w:val="22"/>
          <w:szCs w:val="22"/>
        </w:rPr>
        <w:t xml:space="preserve">Указания, предусмотренные </w:t>
      </w:r>
      <w:proofErr w:type="spellStart"/>
      <w:r w:rsidRPr="002F03C8">
        <w:rPr>
          <w:sz w:val="22"/>
          <w:szCs w:val="22"/>
        </w:rPr>
        <w:t>п.п</w:t>
      </w:r>
      <w:proofErr w:type="spellEnd"/>
      <w:r w:rsidRPr="002F03C8">
        <w:rPr>
          <w:sz w:val="22"/>
          <w:szCs w:val="22"/>
        </w:rPr>
        <w:t>. 5.3, 5.4 настоящего Соглашения, должны быть исполнены Принимающей стороной в течение 3 (трёх) рабочих дней с момента их получения. При отсутствии соответствующего указания Передающей стороны, Принимающая сторона вправе исполнить данную обязанность в любое удобное для неё время, но не позднее окончания срока действия настоящего Соглашения.</w:t>
      </w:r>
    </w:p>
    <w:p w14:paraId="52ABF4E7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29DF26FF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 xml:space="preserve">Ответственность сторон </w:t>
      </w:r>
    </w:p>
    <w:p w14:paraId="064B2432" w14:textId="1D4DE8F9" w:rsidR="002F03C8" w:rsidRPr="002902AB" w:rsidRDefault="00D575EA" w:rsidP="002F03C8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Принимающая сторона несет ответственность за разглашение Конфиденциальной информации либо использование Конфиденциальной информации не в соответствии с предусмотренными настоящим Соглашением целями. Разглашение Конфиденциальной информации - действие или бездействие Принимающей стороны,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лицам, совершенное без согласия Передающей стороны</w:t>
      </w:r>
      <w:r w:rsidR="002F03C8">
        <w:rPr>
          <w:sz w:val="22"/>
          <w:szCs w:val="22"/>
        </w:rPr>
        <w:t xml:space="preserve"> и/или не в соответствии с условиями настоящего Соглашения</w:t>
      </w:r>
      <w:r w:rsidRPr="002902AB">
        <w:rPr>
          <w:sz w:val="22"/>
          <w:szCs w:val="22"/>
        </w:rPr>
        <w:t>.</w:t>
      </w:r>
    </w:p>
    <w:p w14:paraId="0A7F9DCC" w14:textId="15B3E0C3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В случае разглашения Конфиденциальной информации (умышленно либо по неосторожности) или использования Конфиденциальной информации не в соответствии с предусмотренными настоящим Соглашением целями Принимающая сторона за каждый такой </w:t>
      </w:r>
      <w:r w:rsidRPr="002902AB">
        <w:rPr>
          <w:sz w:val="22"/>
          <w:szCs w:val="22"/>
        </w:rPr>
        <w:lastRenderedPageBreak/>
        <w:t xml:space="preserve">факт обязана уплатить Передающей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тороне штраф в размере 250 (двести пятьдесят) базовых величин на дату уплаты штрафа, а также возместить в полном объеме все документально подтвержденные убытки, причиненные разглашением или использованием Конфиденциальной информации не в соответствии с предусмотренными настоящим Соглашением целями. При этом сторона, требующая возмещения убытков, предоставляет объективные и документально подтвержденные доказательства разглашения или использования Конфиденциальной информации не в соответствии с предусмотренными настоящим Соглашением целями, а также достоверный и документально подтвержденный расчет понесенных убытков.</w:t>
      </w:r>
    </w:p>
    <w:p w14:paraId="5CD554E1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7F26174C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Ограничения применения</w:t>
      </w:r>
    </w:p>
    <w:p w14:paraId="7358BD76" w14:textId="4BCF45A5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bookmarkStart w:id="2" w:name="_Ref138920765"/>
      <w:r w:rsidRPr="002902AB">
        <w:rPr>
          <w:sz w:val="22"/>
          <w:szCs w:val="22"/>
        </w:rPr>
        <w:t xml:space="preserve">Принимающая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торона не несет ответственности за разглашение либо использование Конфиденциальной информации не в соответствии с предусмотренными настоящим Соглашением целями</w:t>
      </w:r>
      <w:r w:rsidR="0096001A">
        <w:rPr>
          <w:sz w:val="22"/>
          <w:szCs w:val="22"/>
        </w:rPr>
        <w:t xml:space="preserve"> </w:t>
      </w:r>
      <w:r w:rsidRPr="002902AB">
        <w:rPr>
          <w:sz w:val="22"/>
          <w:szCs w:val="22"/>
        </w:rPr>
        <w:t>в отношении информации, которая:</w:t>
      </w:r>
      <w:bookmarkEnd w:id="2"/>
    </w:p>
    <w:p w14:paraId="2E6945A3" w14:textId="29DAFA3B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а) На </w:t>
      </w:r>
      <w:r w:rsidR="0096001A">
        <w:rPr>
          <w:sz w:val="22"/>
          <w:szCs w:val="22"/>
        </w:rPr>
        <w:t>даты заключения Соглашения</w:t>
      </w:r>
      <w:r w:rsidRPr="002902AB">
        <w:rPr>
          <w:sz w:val="22"/>
          <w:szCs w:val="22"/>
        </w:rPr>
        <w:t xml:space="preserve"> является или </w:t>
      </w:r>
      <w:r w:rsidR="0096001A">
        <w:rPr>
          <w:sz w:val="22"/>
          <w:szCs w:val="22"/>
        </w:rPr>
        <w:t xml:space="preserve">в последующем </w:t>
      </w:r>
      <w:r w:rsidRPr="002902AB">
        <w:rPr>
          <w:sz w:val="22"/>
          <w:szCs w:val="22"/>
        </w:rPr>
        <w:t xml:space="preserve">становится общеизвестной или </w:t>
      </w:r>
      <w:r w:rsidR="0096001A">
        <w:rPr>
          <w:sz w:val="22"/>
          <w:szCs w:val="22"/>
        </w:rPr>
        <w:t>легко</w:t>
      </w:r>
      <w:r w:rsidRPr="002902AB">
        <w:rPr>
          <w:sz w:val="22"/>
          <w:szCs w:val="22"/>
        </w:rPr>
        <w:t xml:space="preserve">доступной в сфере предпринимательской деятельности, если только это не явилось результатом действий или бездействий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тороны;</w:t>
      </w:r>
    </w:p>
    <w:p w14:paraId="17A15C1A" w14:textId="359F9E8C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б) Является общественным достоянием без ограничений по использованию и раскрытию в момент или после ее передачи Передающей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 xml:space="preserve">тороной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 xml:space="preserve">тороне, если только это не явилось результатом действий или бездействий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тороны;</w:t>
      </w:r>
    </w:p>
    <w:p w14:paraId="24571BC7" w14:textId="12377F7F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в) В дальнейшем правомерно предоставляется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тороне третьей стороной без ограничений по использованию или раскрытию;</w:t>
      </w:r>
    </w:p>
    <w:p w14:paraId="3CD15BF6" w14:textId="6E54E7DF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г) Является информацией, независимо разработанной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 xml:space="preserve">тороной, что может быть документально подтверждено Принимающей </w:t>
      </w:r>
      <w:r w:rsidR="0096001A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тороной;</w:t>
      </w:r>
    </w:p>
    <w:p w14:paraId="1428420E" w14:textId="62311686" w:rsidR="00AA0E95" w:rsidRDefault="0096001A" w:rsidP="0096001A">
      <w:pPr>
        <w:spacing w:after="0" w:line="240" w:lineRule="auto"/>
        <w:ind w:firstLine="709"/>
        <w:jc w:val="both"/>
        <w:rPr>
          <w:sz w:val="22"/>
          <w:szCs w:val="22"/>
        </w:rPr>
      </w:pPr>
      <w:r w:rsidRPr="0096001A">
        <w:rPr>
          <w:sz w:val="22"/>
          <w:szCs w:val="22"/>
        </w:rPr>
        <w:t>Принимающая Сторона не несет ответственность за разглашение Конфиденциальной информации уполномоченным государственным органам и должностным лицам, в случаях, когда такая информация должна быть предоставлена указанным органам и лицам в соответствии с требованиями законодательства Республики Беларусь.</w:t>
      </w:r>
    </w:p>
    <w:p w14:paraId="1039EED8" w14:textId="77777777" w:rsidR="0096001A" w:rsidRPr="002902AB" w:rsidRDefault="0096001A" w:rsidP="0096001A">
      <w:pPr>
        <w:spacing w:after="0" w:line="240" w:lineRule="auto"/>
        <w:ind w:firstLine="709"/>
        <w:jc w:val="both"/>
        <w:rPr>
          <w:sz w:val="22"/>
          <w:szCs w:val="22"/>
        </w:rPr>
      </w:pPr>
    </w:p>
    <w:p w14:paraId="677ADEE9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 xml:space="preserve">Права на переданную информацию </w:t>
      </w:r>
    </w:p>
    <w:p w14:paraId="6FC689F3" w14:textId="332F5E2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Право собственности и/или исключительное право на конфиденциальную информацию, полученную Принимающей </w:t>
      </w:r>
      <w:r w:rsidR="00551135">
        <w:rPr>
          <w:sz w:val="22"/>
          <w:szCs w:val="22"/>
        </w:rPr>
        <w:t>с</w:t>
      </w:r>
      <w:r w:rsidRPr="002902AB">
        <w:rPr>
          <w:sz w:val="22"/>
          <w:szCs w:val="22"/>
        </w:rPr>
        <w:t xml:space="preserve">тороной в какой-либо форме при любых обстоятельствах в соответствии с настоящим Соглашением либо иными письменными соглашениями сторон, принадлежит Передающей </w:t>
      </w:r>
      <w:r w:rsidR="00551135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тороне.</w:t>
      </w:r>
    </w:p>
    <w:p w14:paraId="2EA73267" w14:textId="02CC0B8A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Каждая сторона признает и соглашается, что ничто в этом Соглашении не будет толковаться как предоставление Принимающей </w:t>
      </w:r>
      <w:r w:rsidR="00551135">
        <w:rPr>
          <w:sz w:val="22"/>
          <w:szCs w:val="22"/>
        </w:rPr>
        <w:t>с</w:t>
      </w:r>
      <w:r w:rsidRPr="002902AB">
        <w:rPr>
          <w:sz w:val="22"/>
          <w:szCs w:val="22"/>
        </w:rPr>
        <w:t>тороне исключительных прав на конфиденциальную информацию, а также прав на использование конфиденциальной информации для целей, не обозначенных в данном Соглашении.</w:t>
      </w:r>
    </w:p>
    <w:p w14:paraId="5F456E76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Стороны договариваются о том, что будут исполнять свои обязанности по настоящему Соглашению без выплаты какого-либо вознаграждения друг другу.</w:t>
      </w:r>
    </w:p>
    <w:p w14:paraId="05AB84EE" w14:textId="7C4EB700" w:rsidR="00AA0E95" w:rsidRPr="002902AB" w:rsidRDefault="00551135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Передающая сторона</w:t>
      </w:r>
      <w:r w:rsidR="00D575EA" w:rsidRPr="002902AB">
        <w:rPr>
          <w:sz w:val="22"/>
          <w:szCs w:val="22"/>
        </w:rPr>
        <w:t xml:space="preserve"> не да</w:t>
      </w:r>
      <w:r>
        <w:rPr>
          <w:sz w:val="22"/>
          <w:szCs w:val="22"/>
        </w:rPr>
        <w:t>е</w:t>
      </w:r>
      <w:r w:rsidR="00D575EA" w:rsidRPr="002902AB">
        <w:rPr>
          <w:sz w:val="22"/>
          <w:szCs w:val="22"/>
        </w:rPr>
        <w:t>т никаких подтверждений или гарантий, явных или подразумеваемых, в отношении качества, достоверности, точности и полноты Конфиденциальной информации, раскрываемой в соответствии с настоящим Соглашением. Одновременно стороны признают и допускают возможность наличия в Конфиденциальной информации ошибок, неточностей, в силу объективных обстоятельств</w:t>
      </w:r>
      <w:r>
        <w:rPr>
          <w:sz w:val="22"/>
          <w:szCs w:val="22"/>
        </w:rPr>
        <w:t>,</w:t>
      </w:r>
      <w:r w:rsidR="00D575EA" w:rsidRPr="002902AB">
        <w:rPr>
          <w:sz w:val="22"/>
          <w:szCs w:val="22"/>
        </w:rPr>
        <w:t xml:space="preserve"> допущенных при сборе, обработке, интерпретации и толковании соответствующих данных.</w:t>
      </w:r>
    </w:p>
    <w:p w14:paraId="20174CB2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38E5FEEA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Прекращение</w:t>
      </w:r>
    </w:p>
    <w:p w14:paraId="6A711DF6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Настоящее Соглашение вступает в силу с даты подписания его Сторонами и прекращает свое действие через 2 (два) года с момента последнего получения Конфиденциальной информации от передающей Стороны.</w:t>
      </w:r>
    </w:p>
    <w:p w14:paraId="10976719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Вне зависимости от завершения  деловых отношений между Сторонами и расторжения настоящего Соглашения обязательства по обеспечению режима конфиденциальности информации, установленные в этом Соглашении, должны оставаться в силе в течение 2 (двух) лет с момента последнего раскрытия конфиденциальной информации одной Стороной другой </w:t>
      </w:r>
      <w:r w:rsidRPr="002902AB">
        <w:rPr>
          <w:sz w:val="22"/>
          <w:szCs w:val="22"/>
        </w:rPr>
        <w:lastRenderedPageBreak/>
        <w:t>Стороне, или в течение иного более длительного срока охраны конфиденциальности, установленного для информации определенного вида, если только Передающая Сторона прямо не соглашается в письменном виде снять ограничения, налагаемые данным Соглашением, со всей или части конфиденциальной информации до истечения этого периода.</w:t>
      </w:r>
    </w:p>
    <w:p w14:paraId="1B5ADFCF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0848C4BF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 xml:space="preserve">Автономность положений соглашения </w:t>
      </w:r>
    </w:p>
    <w:p w14:paraId="6AB07DDE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Если какое-либо условие настоящего Соглашения оказывается недействительным, (а) остальные положения настоящего Соглашения остаются в полной силе и (б) недействительное условие должно быть заменено действительным условием, которое по содержанию наиболее близко выражает смысл этого недействительного условия.</w:t>
      </w:r>
    </w:p>
    <w:p w14:paraId="0FD9AD7B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2CE0F684" w14:textId="77777777" w:rsidR="00AA0E95" w:rsidRPr="002902AB" w:rsidRDefault="00D575EA" w:rsidP="002902AB">
      <w:pPr>
        <w:pStyle w:val="af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b/>
          <w:color w:val="000000"/>
          <w:sz w:val="22"/>
          <w:szCs w:val="22"/>
          <w:lang w:val="en-US"/>
        </w:rPr>
      </w:pPr>
      <w:r w:rsidRPr="002902AB">
        <w:rPr>
          <w:b/>
          <w:bCs/>
          <w:color w:val="000000"/>
          <w:sz w:val="22"/>
          <w:szCs w:val="22"/>
        </w:rPr>
        <w:t>Применимое право; Подсудность</w:t>
      </w:r>
    </w:p>
    <w:p w14:paraId="4D5DED96" w14:textId="77777777" w:rsidR="00AA0E95" w:rsidRPr="002902AB" w:rsidRDefault="00D575EA" w:rsidP="00290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2"/>
          <w:szCs w:val="22"/>
        </w:rPr>
      </w:pPr>
      <w:r w:rsidRPr="002902AB">
        <w:rPr>
          <w:color w:val="000000"/>
          <w:sz w:val="22"/>
          <w:szCs w:val="22"/>
        </w:rPr>
        <w:t xml:space="preserve">Настоящее Соглашение регулируется в соответствии с законодательством Республики Беларусь. </w:t>
      </w:r>
    </w:p>
    <w:p w14:paraId="27705FD9" w14:textId="77777777" w:rsidR="00AA0E95" w:rsidRPr="002902AB" w:rsidRDefault="00D575EA" w:rsidP="00290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2"/>
          <w:szCs w:val="22"/>
        </w:rPr>
      </w:pPr>
      <w:r w:rsidRPr="002902AB">
        <w:rPr>
          <w:color w:val="000000"/>
          <w:sz w:val="22"/>
          <w:szCs w:val="22"/>
        </w:rPr>
        <w:t>Все споры и разногласия, которые могут возникнуть в процессе исполнения настоящего Соглашения или в связи с ним, будут по возможности разрешаться путем переговоров между Сторонами. В противном случае споры и разногласия по данному Соглашению подлежат рассмотрению Экономическим судом г. Минска.</w:t>
      </w:r>
    </w:p>
    <w:p w14:paraId="1D19BED5" w14:textId="77777777" w:rsidR="00AA0E95" w:rsidRPr="002902AB" w:rsidRDefault="00AA0E95" w:rsidP="002902AB">
      <w:pPr>
        <w:spacing w:after="0" w:line="240" w:lineRule="auto"/>
        <w:jc w:val="both"/>
        <w:rPr>
          <w:sz w:val="22"/>
          <w:szCs w:val="22"/>
        </w:rPr>
      </w:pPr>
    </w:p>
    <w:p w14:paraId="7FBAB14A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Целостность соглашения</w:t>
      </w:r>
    </w:p>
    <w:p w14:paraId="383061C3" w14:textId="28C99BAD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Настоящее Соглашение отменяет все предыдущие и настоящие соглашения и договоренности между сторонами в отношении предмета </w:t>
      </w:r>
      <w:r w:rsidR="00551135">
        <w:rPr>
          <w:sz w:val="22"/>
          <w:szCs w:val="22"/>
        </w:rPr>
        <w:t xml:space="preserve">и области применения, указанных в настоящем </w:t>
      </w:r>
      <w:r w:rsidRPr="002902AB">
        <w:rPr>
          <w:sz w:val="22"/>
          <w:szCs w:val="22"/>
        </w:rPr>
        <w:t>Соглашени</w:t>
      </w:r>
      <w:r w:rsidR="00551135">
        <w:rPr>
          <w:sz w:val="22"/>
          <w:szCs w:val="22"/>
        </w:rPr>
        <w:t>и,</w:t>
      </w:r>
      <w:r w:rsidRPr="002902AB">
        <w:rPr>
          <w:sz w:val="22"/>
          <w:szCs w:val="22"/>
        </w:rPr>
        <w:t xml:space="preserve"> в письменном или устном виде. В случае возникновения противоречий между положениями и условиями конфиденциальности настоящего Соглашения, и другими договорами, и соглашениями с условиями конфиденциальности, заключенными между Сторонами</w:t>
      </w:r>
      <w:r w:rsidR="003C7A14">
        <w:rPr>
          <w:sz w:val="22"/>
          <w:szCs w:val="22"/>
        </w:rPr>
        <w:t xml:space="preserve"> и имеющими одинаковый предмет и область применения</w:t>
      </w:r>
      <w:r w:rsidRPr="002902AB">
        <w:rPr>
          <w:sz w:val="22"/>
          <w:szCs w:val="22"/>
        </w:rPr>
        <w:t>, должны применяться положения данного Соглашения, если Стороны не договорятся иначе. В отдельных договорах Стороны могут установить дополнительные условия и меры по использованию и защите конфиденциальной информации, и исполнению взятых на себя обязательств.</w:t>
      </w:r>
    </w:p>
    <w:p w14:paraId="332355AD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>Настоящее Соглашение может быть изменено или дополнено только посредством письменного соглашения, заключенного сторонами. Все дополнения и приложения к Соглашению являются неотъемлемой частью настоящего Соглашения.</w:t>
      </w:r>
    </w:p>
    <w:p w14:paraId="6D9A8D89" w14:textId="77777777" w:rsidR="00AA0E95" w:rsidRPr="002902AB" w:rsidRDefault="00D575EA" w:rsidP="002902AB">
      <w:pPr>
        <w:spacing w:after="0" w:line="240" w:lineRule="auto"/>
        <w:ind w:firstLine="708"/>
        <w:jc w:val="both"/>
        <w:rPr>
          <w:sz w:val="22"/>
          <w:szCs w:val="22"/>
        </w:rPr>
      </w:pPr>
      <w:r w:rsidRPr="002902AB">
        <w:rPr>
          <w:sz w:val="22"/>
          <w:szCs w:val="22"/>
        </w:rPr>
        <w:t xml:space="preserve">Настоящее Соглашение составлено в двух экземплярах, имеющих равную юридическую силу, по одному для каждой из сторон. </w:t>
      </w:r>
    </w:p>
    <w:p w14:paraId="4860CA4B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Адреса и реквизиты сторон</w:t>
      </w:r>
    </w:p>
    <w:p w14:paraId="443D8B25" w14:textId="77777777" w:rsidR="00AA0E95" w:rsidRPr="002902AB" w:rsidRDefault="00AA0E95" w:rsidP="002902AB">
      <w:pPr>
        <w:spacing w:after="0" w:line="240" w:lineRule="auto"/>
        <w:ind w:firstLine="709"/>
        <w:jc w:val="center"/>
        <w:rPr>
          <w:sz w:val="22"/>
          <w:szCs w:val="22"/>
        </w:rPr>
      </w:pPr>
    </w:p>
    <w:tbl>
      <w:tblPr>
        <w:tblW w:w="8785" w:type="dxa"/>
        <w:tblLayout w:type="fixed"/>
        <w:tblLook w:val="04A0" w:firstRow="1" w:lastRow="0" w:firstColumn="1" w:lastColumn="0" w:noHBand="0" w:noVBand="1"/>
      </w:tblPr>
      <w:tblGrid>
        <w:gridCol w:w="4353"/>
        <w:gridCol w:w="4432"/>
      </w:tblGrid>
      <w:tr w:rsidR="00AA0E95" w:rsidRPr="002902AB" w14:paraId="68F8D089" w14:textId="77777777">
        <w:tc>
          <w:tcPr>
            <w:tcW w:w="4353" w:type="dxa"/>
          </w:tcPr>
          <w:p w14:paraId="080FD380" w14:textId="77777777" w:rsidR="00AA0E95" w:rsidRPr="002902AB" w:rsidRDefault="00AA0E95" w:rsidP="002902AB">
            <w:pPr>
              <w:pStyle w:val="a4"/>
              <w:spacing w:after="0" w:line="240" w:lineRule="auto"/>
              <w:ind w:hanging="68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432" w:type="dxa"/>
          </w:tcPr>
          <w:p w14:paraId="62318CCC" w14:textId="77777777" w:rsidR="00AA0E95" w:rsidRPr="002902AB" w:rsidRDefault="00D575EA" w:rsidP="002902AB">
            <w:pPr>
              <w:tabs>
                <w:tab w:val="left" w:pos="576"/>
                <w:tab w:val="left" w:pos="993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2902AB">
              <w:rPr>
                <w:b/>
                <w:sz w:val="22"/>
                <w:szCs w:val="22"/>
              </w:rPr>
              <w:t>ЗАО «</w:t>
            </w:r>
            <w:proofErr w:type="spellStart"/>
            <w:r w:rsidRPr="002902AB">
              <w:rPr>
                <w:b/>
                <w:sz w:val="22"/>
                <w:szCs w:val="22"/>
              </w:rPr>
              <w:t>МТБанк</w:t>
            </w:r>
            <w:proofErr w:type="spellEnd"/>
            <w:r w:rsidRPr="002902AB">
              <w:rPr>
                <w:b/>
                <w:sz w:val="22"/>
                <w:szCs w:val="22"/>
              </w:rPr>
              <w:t xml:space="preserve">» </w:t>
            </w:r>
          </w:p>
          <w:p w14:paraId="21F349E6" w14:textId="77777777" w:rsidR="00AA0E95" w:rsidRPr="002902AB" w:rsidRDefault="00D575EA" w:rsidP="002902AB">
            <w:pPr>
              <w:tabs>
                <w:tab w:val="left" w:pos="576"/>
                <w:tab w:val="left" w:pos="993"/>
              </w:tabs>
              <w:spacing w:after="0" w:line="240" w:lineRule="auto"/>
              <w:rPr>
                <w:sz w:val="22"/>
                <w:szCs w:val="22"/>
              </w:rPr>
            </w:pPr>
            <w:r w:rsidRPr="002902AB">
              <w:rPr>
                <w:sz w:val="22"/>
                <w:szCs w:val="22"/>
              </w:rPr>
              <w:t>Юридический адрес: ул. Толстого, 10</w:t>
            </w:r>
          </w:p>
          <w:p w14:paraId="0D66C397" w14:textId="77777777" w:rsidR="00AA0E95" w:rsidRPr="002902AB" w:rsidRDefault="00D575EA" w:rsidP="002902AB">
            <w:pPr>
              <w:tabs>
                <w:tab w:val="left" w:pos="576"/>
                <w:tab w:val="left" w:pos="993"/>
              </w:tabs>
              <w:spacing w:after="0" w:line="240" w:lineRule="auto"/>
              <w:rPr>
                <w:sz w:val="22"/>
                <w:szCs w:val="22"/>
              </w:rPr>
            </w:pPr>
            <w:r w:rsidRPr="002902AB">
              <w:rPr>
                <w:sz w:val="22"/>
                <w:szCs w:val="22"/>
              </w:rPr>
              <w:t>220007, г. Минск</w:t>
            </w:r>
            <w:r w:rsidRPr="002902AB">
              <w:rPr>
                <w:sz w:val="22"/>
                <w:szCs w:val="22"/>
              </w:rPr>
              <w:tab/>
            </w:r>
          </w:p>
          <w:p w14:paraId="3A6A32D3" w14:textId="77777777" w:rsidR="00AA0E95" w:rsidRPr="002902AB" w:rsidRDefault="00D575EA" w:rsidP="002902AB">
            <w:pPr>
              <w:spacing w:after="0" w:line="240" w:lineRule="auto"/>
              <w:rPr>
                <w:sz w:val="22"/>
                <w:szCs w:val="22"/>
              </w:rPr>
            </w:pPr>
            <w:r w:rsidRPr="002902AB">
              <w:rPr>
                <w:sz w:val="22"/>
                <w:szCs w:val="22"/>
              </w:rPr>
              <w:t>Телефон: +375 (17) 229 99 00, +375 (17) 229 99 54, +375 (17) 229 98 72</w:t>
            </w:r>
          </w:p>
          <w:p w14:paraId="261AB0AE" w14:textId="17625F47" w:rsidR="00AA0E95" w:rsidRPr="002902AB" w:rsidRDefault="00D575EA" w:rsidP="002902AB">
            <w:pPr>
              <w:tabs>
                <w:tab w:val="left" w:pos="576"/>
                <w:tab w:val="left" w:pos="993"/>
              </w:tabs>
              <w:spacing w:after="0" w:line="240" w:lineRule="auto"/>
              <w:outlineLvl w:val="0"/>
              <w:rPr>
                <w:b/>
                <w:sz w:val="22"/>
                <w:szCs w:val="22"/>
              </w:rPr>
            </w:pPr>
            <w:r w:rsidRPr="002902AB">
              <w:rPr>
                <w:sz w:val="22"/>
                <w:szCs w:val="22"/>
              </w:rPr>
              <w:t xml:space="preserve">Факс: +375 (17) 213 29 09 </w:t>
            </w:r>
          </w:p>
        </w:tc>
      </w:tr>
      <w:tr w:rsidR="00AA0E95" w:rsidRPr="002902AB" w14:paraId="76AA62FD" w14:textId="77777777">
        <w:tc>
          <w:tcPr>
            <w:tcW w:w="4353" w:type="dxa"/>
          </w:tcPr>
          <w:p w14:paraId="2C6502FE" w14:textId="77777777" w:rsidR="00AA0E95" w:rsidRPr="002902AB" w:rsidRDefault="00AA0E95" w:rsidP="002902A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432" w:type="dxa"/>
          </w:tcPr>
          <w:p w14:paraId="3A30A157" w14:textId="77777777" w:rsidR="00AA0E95" w:rsidRPr="002902AB" w:rsidRDefault="00AA0E95" w:rsidP="002902AB">
            <w:pPr>
              <w:tabs>
                <w:tab w:val="left" w:pos="576"/>
                <w:tab w:val="left" w:pos="993"/>
              </w:tabs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1F3680AB" w14:textId="77777777" w:rsidR="00AA0E95" w:rsidRPr="002902AB" w:rsidRDefault="00D575EA" w:rsidP="002902AB">
      <w:pPr>
        <w:pStyle w:val="1"/>
        <w:numPr>
          <w:ilvl w:val="0"/>
          <w:numId w:val="2"/>
        </w:numPr>
        <w:spacing w:after="0" w:line="240" w:lineRule="auto"/>
        <w:ind w:left="426" w:hanging="426"/>
        <w:rPr>
          <w:sz w:val="22"/>
          <w:szCs w:val="22"/>
        </w:rPr>
      </w:pPr>
      <w:r w:rsidRPr="002902AB">
        <w:rPr>
          <w:sz w:val="22"/>
          <w:szCs w:val="22"/>
        </w:rPr>
        <w:t>Подписи сторон</w:t>
      </w: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4435"/>
        <w:gridCol w:w="4462"/>
      </w:tblGrid>
      <w:tr w:rsidR="00AA0E95" w:rsidRPr="002902AB" w14:paraId="2FB3E233" w14:textId="77777777">
        <w:tc>
          <w:tcPr>
            <w:tcW w:w="4435" w:type="dxa"/>
          </w:tcPr>
          <w:p w14:paraId="1C0716D0" w14:textId="20C94153" w:rsidR="00AA0E95" w:rsidRPr="002902AB" w:rsidRDefault="00D575EA" w:rsidP="002902AB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2902AB">
              <w:rPr>
                <w:sz w:val="22"/>
                <w:szCs w:val="22"/>
                <w:lang w:val="en-US"/>
              </w:rPr>
              <w:t>__________________</w:t>
            </w:r>
            <w:r w:rsidRPr="002902AB">
              <w:rPr>
                <w:sz w:val="22"/>
                <w:szCs w:val="22"/>
              </w:rPr>
              <w:t>/</w:t>
            </w:r>
          </w:p>
          <w:p w14:paraId="5702E355" w14:textId="77777777" w:rsidR="00AA0E95" w:rsidRPr="002902AB" w:rsidRDefault="00AA0E95" w:rsidP="002902AB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62" w:type="dxa"/>
          </w:tcPr>
          <w:p w14:paraId="0233ADD5" w14:textId="77777777" w:rsidR="00AA0E95" w:rsidRPr="002902AB" w:rsidRDefault="00AA0E95" w:rsidP="002902AB">
            <w:pPr>
              <w:spacing w:after="0" w:line="240" w:lineRule="auto"/>
              <w:rPr>
                <w:sz w:val="22"/>
                <w:szCs w:val="22"/>
              </w:rPr>
            </w:pPr>
          </w:p>
          <w:p w14:paraId="13A074DC" w14:textId="77777777" w:rsidR="00AA0E95" w:rsidRPr="002902AB" w:rsidRDefault="00D575EA" w:rsidP="002902AB">
            <w:pPr>
              <w:spacing w:after="0" w:line="240" w:lineRule="auto"/>
              <w:rPr>
                <w:snapToGrid w:val="0"/>
                <w:sz w:val="22"/>
                <w:szCs w:val="22"/>
                <w:lang w:eastAsia="lt-LT"/>
              </w:rPr>
            </w:pPr>
            <w:r w:rsidRPr="002902AB">
              <w:rPr>
                <w:sz w:val="22"/>
                <w:szCs w:val="22"/>
              </w:rPr>
              <w:t>_______________________/</w:t>
            </w:r>
          </w:p>
          <w:p w14:paraId="0DAFE369" w14:textId="77777777" w:rsidR="00AA0E95" w:rsidRPr="002902AB" w:rsidRDefault="00AA0E95" w:rsidP="002902A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A0E95" w:rsidRPr="002902AB" w14:paraId="13C5CEBA" w14:textId="77777777">
        <w:tc>
          <w:tcPr>
            <w:tcW w:w="4435" w:type="dxa"/>
          </w:tcPr>
          <w:p w14:paraId="22F99B11" w14:textId="77777777" w:rsidR="00AA0E95" w:rsidRPr="002902AB" w:rsidRDefault="00AA0E95" w:rsidP="002902AB">
            <w:pPr>
              <w:spacing w:after="0" w:line="240" w:lineRule="auto"/>
              <w:rPr>
                <w:snapToGrid w:val="0"/>
                <w:sz w:val="22"/>
                <w:szCs w:val="22"/>
                <w:lang w:eastAsia="lt-LT"/>
              </w:rPr>
            </w:pPr>
          </w:p>
          <w:p w14:paraId="5CBE9B2A" w14:textId="77777777" w:rsidR="00AA0E95" w:rsidRPr="002902AB" w:rsidRDefault="00D575EA" w:rsidP="002902AB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2902AB">
              <w:rPr>
                <w:snapToGrid w:val="0"/>
                <w:sz w:val="22"/>
                <w:szCs w:val="22"/>
                <w:lang w:eastAsia="lt-LT"/>
              </w:rPr>
              <w:t>М.П.</w:t>
            </w:r>
          </w:p>
        </w:tc>
        <w:tc>
          <w:tcPr>
            <w:tcW w:w="4462" w:type="dxa"/>
          </w:tcPr>
          <w:p w14:paraId="175378BF" w14:textId="77777777" w:rsidR="00AA0E95" w:rsidRPr="002902AB" w:rsidRDefault="00AA0E95" w:rsidP="002902AB">
            <w:pPr>
              <w:spacing w:after="0" w:line="240" w:lineRule="auto"/>
              <w:rPr>
                <w:snapToGrid w:val="0"/>
                <w:sz w:val="22"/>
                <w:szCs w:val="22"/>
                <w:lang w:eastAsia="lt-LT"/>
              </w:rPr>
            </w:pPr>
          </w:p>
          <w:p w14:paraId="784BECBC" w14:textId="77777777" w:rsidR="00AA0E95" w:rsidRPr="002902AB" w:rsidRDefault="00D575EA" w:rsidP="002902AB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902AB">
              <w:rPr>
                <w:snapToGrid w:val="0"/>
                <w:sz w:val="22"/>
                <w:szCs w:val="22"/>
                <w:lang w:eastAsia="lt-LT"/>
              </w:rPr>
              <w:t>М.П.</w:t>
            </w:r>
          </w:p>
        </w:tc>
      </w:tr>
    </w:tbl>
    <w:p w14:paraId="509D8877" w14:textId="77777777" w:rsidR="00AA0E95" w:rsidRPr="002902AB" w:rsidRDefault="00AA0E95" w:rsidP="00340FC9">
      <w:pPr>
        <w:spacing w:after="0" w:line="240" w:lineRule="auto"/>
        <w:rPr>
          <w:sz w:val="22"/>
          <w:szCs w:val="22"/>
        </w:rPr>
      </w:pPr>
    </w:p>
    <w:sectPr w:rsidR="00AA0E95" w:rsidRPr="002902AB">
      <w:headerReference w:type="default" r:id="rId9"/>
      <w:footerReference w:type="default" r:id="rId10"/>
      <w:pgSz w:w="11906" w:h="16838"/>
      <w:pgMar w:top="1134" w:right="991" w:bottom="99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6111" w14:textId="77777777" w:rsidR="002A2F68" w:rsidRDefault="002A2F68">
      <w:pPr>
        <w:spacing w:after="0" w:line="240" w:lineRule="auto"/>
      </w:pPr>
      <w:r>
        <w:separator/>
      </w:r>
    </w:p>
  </w:endnote>
  <w:endnote w:type="continuationSeparator" w:id="0">
    <w:p w14:paraId="53B4587F" w14:textId="77777777" w:rsidR="002A2F68" w:rsidRDefault="002A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2476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AE697BC" w14:textId="247ED7BC" w:rsidR="002902AB" w:rsidRPr="002902AB" w:rsidRDefault="002902AB">
        <w:pPr>
          <w:pStyle w:val="ae"/>
          <w:jc w:val="center"/>
          <w:rPr>
            <w:sz w:val="22"/>
            <w:szCs w:val="22"/>
          </w:rPr>
        </w:pPr>
        <w:r w:rsidRPr="002902AB">
          <w:rPr>
            <w:sz w:val="22"/>
            <w:szCs w:val="22"/>
          </w:rPr>
          <w:fldChar w:fldCharType="begin"/>
        </w:r>
        <w:r w:rsidRPr="002902AB">
          <w:rPr>
            <w:sz w:val="22"/>
            <w:szCs w:val="22"/>
          </w:rPr>
          <w:instrText>PAGE   \* MERGEFORMAT</w:instrText>
        </w:r>
        <w:r w:rsidRPr="002902AB">
          <w:rPr>
            <w:sz w:val="22"/>
            <w:szCs w:val="22"/>
          </w:rPr>
          <w:fldChar w:fldCharType="separate"/>
        </w:r>
        <w:r w:rsidR="002F03C8">
          <w:rPr>
            <w:noProof/>
            <w:sz w:val="22"/>
            <w:szCs w:val="22"/>
          </w:rPr>
          <w:t>1</w:t>
        </w:r>
        <w:r w:rsidRPr="002902AB">
          <w:rPr>
            <w:sz w:val="22"/>
            <w:szCs w:val="22"/>
          </w:rPr>
          <w:fldChar w:fldCharType="end"/>
        </w:r>
      </w:p>
    </w:sdtContent>
  </w:sdt>
  <w:p w14:paraId="7EF36808" w14:textId="77777777" w:rsidR="002902AB" w:rsidRDefault="002902A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3241" w14:textId="77777777" w:rsidR="002A2F68" w:rsidRDefault="002A2F68">
      <w:pPr>
        <w:spacing w:after="0" w:line="240" w:lineRule="auto"/>
      </w:pPr>
      <w:r>
        <w:separator/>
      </w:r>
    </w:p>
  </w:footnote>
  <w:footnote w:type="continuationSeparator" w:id="0">
    <w:p w14:paraId="737DA2FA" w14:textId="77777777" w:rsidR="002A2F68" w:rsidRDefault="002A2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31B8" w14:textId="77777777" w:rsidR="00AA0E95" w:rsidRDefault="00D575EA">
    <w:pPr>
      <w:pStyle w:val="a9"/>
      <w:jc w:val="right"/>
      <w:rPr>
        <w:color w:val="BFBFBF" w:themeColor="background1" w:themeShade="BF"/>
        <w:sz w:val="18"/>
        <w:szCs w:val="18"/>
      </w:rPr>
    </w:pPr>
    <w:r>
      <w:rPr>
        <w:color w:val="BFBFBF" w:themeColor="background1" w:themeShade="BF"/>
        <w:sz w:val="18"/>
        <w:szCs w:val="18"/>
      </w:rPr>
      <w:t>Конфиденциально</w:t>
    </w:r>
  </w:p>
  <w:p w14:paraId="4973169E" w14:textId="77777777" w:rsidR="00AA0E95" w:rsidRDefault="00AA0E95">
    <w:pPr>
      <w:pStyle w:val="a9"/>
      <w:rPr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8B9"/>
    <w:multiLevelType w:val="hybridMultilevel"/>
    <w:tmpl w:val="9D7E9C62"/>
    <w:lvl w:ilvl="0" w:tplc="F73C7A6E">
      <w:start w:val="1"/>
      <w:numFmt w:val="bullet"/>
      <w:lvlText w:val=""/>
      <w:lvlJc w:val="left"/>
      <w:pPr>
        <w:ind w:left="1428" w:hanging="358"/>
      </w:pPr>
      <w:rPr>
        <w:rFonts w:ascii="Symbol" w:hAnsi="Symbol" w:hint="default"/>
      </w:rPr>
    </w:lvl>
    <w:lvl w:ilvl="1" w:tplc="42807FC2">
      <w:start w:val="1"/>
      <w:numFmt w:val="bullet"/>
      <w:lvlText w:val="o"/>
      <w:lvlJc w:val="left"/>
      <w:pPr>
        <w:ind w:left="2148" w:hanging="358"/>
      </w:pPr>
      <w:rPr>
        <w:rFonts w:ascii="Courier New" w:hAnsi="Courier New" w:cs="Courier New" w:hint="default"/>
      </w:rPr>
    </w:lvl>
    <w:lvl w:ilvl="2" w:tplc="A23A0504">
      <w:start w:val="1"/>
      <w:numFmt w:val="bullet"/>
      <w:lvlText w:val=""/>
      <w:lvlJc w:val="left"/>
      <w:pPr>
        <w:ind w:left="2868" w:hanging="358"/>
      </w:pPr>
      <w:rPr>
        <w:rFonts w:ascii="Wingdings" w:hAnsi="Wingdings" w:hint="default"/>
      </w:rPr>
    </w:lvl>
    <w:lvl w:ilvl="3" w:tplc="C6DC9572">
      <w:start w:val="1"/>
      <w:numFmt w:val="bullet"/>
      <w:lvlText w:val=""/>
      <w:lvlJc w:val="left"/>
      <w:pPr>
        <w:ind w:left="3588" w:hanging="358"/>
      </w:pPr>
      <w:rPr>
        <w:rFonts w:ascii="Symbol" w:hAnsi="Symbol" w:hint="default"/>
      </w:rPr>
    </w:lvl>
    <w:lvl w:ilvl="4" w:tplc="ABE864C0">
      <w:start w:val="1"/>
      <w:numFmt w:val="bullet"/>
      <w:lvlText w:val="o"/>
      <w:lvlJc w:val="left"/>
      <w:pPr>
        <w:ind w:left="4308" w:hanging="358"/>
      </w:pPr>
      <w:rPr>
        <w:rFonts w:ascii="Courier New" w:hAnsi="Courier New" w:cs="Courier New" w:hint="default"/>
      </w:rPr>
    </w:lvl>
    <w:lvl w:ilvl="5" w:tplc="A1A83432">
      <w:start w:val="1"/>
      <w:numFmt w:val="bullet"/>
      <w:lvlText w:val=""/>
      <w:lvlJc w:val="left"/>
      <w:pPr>
        <w:ind w:left="5028" w:hanging="358"/>
      </w:pPr>
      <w:rPr>
        <w:rFonts w:ascii="Wingdings" w:hAnsi="Wingdings" w:hint="default"/>
      </w:rPr>
    </w:lvl>
    <w:lvl w:ilvl="6" w:tplc="BAC6B74E">
      <w:start w:val="1"/>
      <w:numFmt w:val="bullet"/>
      <w:lvlText w:val=""/>
      <w:lvlJc w:val="left"/>
      <w:pPr>
        <w:ind w:left="5748" w:hanging="358"/>
      </w:pPr>
      <w:rPr>
        <w:rFonts w:ascii="Symbol" w:hAnsi="Symbol" w:hint="default"/>
      </w:rPr>
    </w:lvl>
    <w:lvl w:ilvl="7" w:tplc="9B36FDF2">
      <w:start w:val="1"/>
      <w:numFmt w:val="bullet"/>
      <w:lvlText w:val="o"/>
      <w:lvlJc w:val="left"/>
      <w:pPr>
        <w:ind w:left="6468" w:hanging="358"/>
      </w:pPr>
      <w:rPr>
        <w:rFonts w:ascii="Courier New" w:hAnsi="Courier New" w:cs="Courier New" w:hint="default"/>
      </w:rPr>
    </w:lvl>
    <w:lvl w:ilvl="8" w:tplc="EE4460A6">
      <w:start w:val="1"/>
      <w:numFmt w:val="bullet"/>
      <w:lvlText w:val=""/>
      <w:lvlJc w:val="left"/>
      <w:pPr>
        <w:ind w:left="7188" w:hanging="358"/>
      </w:pPr>
      <w:rPr>
        <w:rFonts w:ascii="Wingdings" w:hAnsi="Wingdings" w:hint="default"/>
      </w:rPr>
    </w:lvl>
  </w:abstractNum>
  <w:abstractNum w:abstractNumId="1" w15:restartNumberingAfterBreak="0">
    <w:nsid w:val="1A94647D"/>
    <w:multiLevelType w:val="multilevel"/>
    <w:tmpl w:val="78026C7A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1"/>
      <w:numFmt w:val="decimal"/>
      <w:lvlText w:val="%1.%2."/>
      <w:lvlJc w:val="left"/>
      <w:pPr>
        <w:ind w:left="1068" w:hanging="35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7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7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3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43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798"/>
      </w:pPr>
      <w:rPr>
        <w:rFonts w:hint="default"/>
      </w:rPr>
    </w:lvl>
  </w:abstractNum>
  <w:abstractNum w:abstractNumId="2" w15:restartNumberingAfterBreak="0">
    <w:nsid w:val="345A0C06"/>
    <w:multiLevelType w:val="multilevel"/>
    <w:tmpl w:val="345A0C06"/>
    <w:lvl w:ilvl="0">
      <w:start w:val="4"/>
      <w:numFmt w:val="decimal"/>
      <w:pStyle w:val="1"/>
      <w:lvlText w:val="%1."/>
      <w:lvlJc w:val="left"/>
      <w:pPr>
        <w:tabs>
          <w:tab w:val="left" w:pos="0"/>
        </w:tabs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0"/>
        </w:tabs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0"/>
        </w:tabs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0"/>
        </w:tabs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0"/>
        </w:tabs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0"/>
        </w:tabs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0"/>
        </w:tabs>
      </w:pPr>
      <w:rPr>
        <w:rFonts w:cs="Times New Roman" w:hint="default"/>
      </w:rPr>
    </w:lvl>
  </w:abstractNum>
  <w:abstractNum w:abstractNumId="3" w15:restartNumberingAfterBreak="0">
    <w:nsid w:val="36E3718E"/>
    <w:multiLevelType w:val="multilevel"/>
    <w:tmpl w:val="78026C7A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1"/>
      <w:numFmt w:val="decimal"/>
      <w:lvlText w:val="%1.%2."/>
      <w:lvlJc w:val="left"/>
      <w:pPr>
        <w:ind w:left="1068" w:hanging="35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7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7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3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43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798"/>
      </w:pPr>
      <w:rPr>
        <w:rFonts w:hint="default"/>
      </w:rPr>
    </w:lvl>
  </w:abstractNum>
  <w:abstractNum w:abstractNumId="4" w15:restartNumberingAfterBreak="0">
    <w:nsid w:val="5CE03D3B"/>
    <w:multiLevelType w:val="multilevel"/>
    <w:tmpl w:val="5CE03D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819CE"/>
    <w:multiLevelType w:val="multilevel"/>
    <w:tmpl w:val="78026C7A"/>
    <w:lvl w:ilvl="0">
      <w:start w:val="1"/>
      <w:numFmt w:val="decimal"/>
      <w:lvlText w:val="%1."/>
      <w:lvlJc w:val="left"/>
      <w:pPr>
        <w:ind w:left="720" w:hanging="358"/>
      </w:pPr>
    </w:lvl>
    <w:lvl w:ilvl="1">
      <w:start w:val="1"/>
      <w:numFmt w:val="decimal"/>
      <w:lvlText w:val="%1.%2."/>
      <w:lvlJc w:val="left"/>
      <w:pPr>
        <w:ind w:left="1068" w:hanging="35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7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7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3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43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798"/>
      </w:pPr>
      <w:rPr>
        <w:rFonts w:hint="default"/>
      </w:rPr>
    </w:lvl>
  </w:abstractNum>
  <w:abstractNum w:abstractNumId="6" w15:restartNumberingAfterBreak="0">
    <w:nsid w:val="63A03156"/>
    <w:multiLevelType w:val="multilevel"/>
    <w:tmpl w:val="ED4624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DF349D"/>
    <w:multiLevelType w:val="multilevel"/>
    <w:tmpl w:val="63DF34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553763">
    <w:abstractNumId w:val="2"/>
  </w:num>
  <w:num w:numId="2" w16cid:durableId="1451777354">
    <w:abstractNumId w:val="7"/>
  </w:num>
  <w:num w:numId="3" w16cid:durableId="1158349279">
    <w:abstractNumId w:val="4"/>
  </w:num>
  <w:num w:numId="4" w16cid:durableId="1557551785">
    <w:abstractNumId w:val="5"/>
  </w:num>
  <w:num w:numId="5" w16cid:durableId="1462921470">
    <w:abstractNumId w:val="6"/>
  </w:num>
  <w:num w:numId="6" w16cid:durableId="1884100524">
    <w:abstractNumId w:val="0"/>
  </w:num>
  <w:num w:numId="7" w16cid:durableId="561478463">
    <w:abstractNumId w:val="1"/>
  </w:num>
  <w:num w:numId="8" w16cid:durableId="2302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08"/>
    <w:rsid w:val="00015908"/>
    <w:rsid w:val="00015D26"/>
    <w:rsid w:val="00025634"/>
    <w:rsid w:val="00032D7E"/>
    <w:rsid w:val="00035338"/>
    <w:rsid w:val="0005301F"/>
    <w:rsid w:val="000573BF"/>
    <w:rsid w:val="000576BA"/>
    <w:rsid w:val="00061D03"/>
    <w:rsid w:val="00072FDA"/>
    <w:rsid w:val="00082C89"/>
    <w:rsid w:val="000832D1"/>
    <w:rsid w:val="00095EF4"/>
    <w:rsid w:val="00097353"/>
    <w:rsid w:val="00097DD5"/>
    <w:rsid w:val="000B15B0"/>
    <w:rsid w:val="000B24E9"/>
    <w:rsid w:val="000B3DEB"/>
    <w:rsid w:val="000B7C8B"/>
    <w:rsid w:val="000C2004"/>
    <w:rsid w:val="000C2AFF"/>
    <w:rsid w:val="000C7EA6"/>
    <w:rsid w:val="000D1A57"/>
    <w:rsid w:val="000D3D2F"/>
    <w:rsid w:val="000E07B8"/>
    <w:rsid w:val="000E72AA"/>
    <w:rsid w:val="000F1075"/>
    <w:rsid w:val="000F3251"/>
    <w:rsid w:val="000F6E43"/>
    <w:rsid w:val="00101271"/>
    <w:rsid w:val="00117101"/>
    <w:rsid w:val="00127B63"/>
    <w:rsid w:val="0013010C"/>
    <w:rsid w:val="001424A2"/>
    <w:rsid w:val="0014480D"/>
    <w:rsid w:val="0014777D"/>
    <w:rsid w:val="00150979"/>
    <w:rsid w:val="001667AD"/>
    <w:rsid w:val="0016742F"/>
    <w:rsid w:val="00172536"/>
    <w:rsid w:val="00180CBF"/>
    <w:rsid w:val="0019138C"/>
    <w:rsid w:val="00191671"/>
    <w:rsid w:val="00192DE1"/>
    <w:rsid w:val="001C515D"/>
    <w:rsid w:val="001C7B19"/>
    <w:rsid w:val="001E02BC"/>
    <w:rsid w:val="001E6E27"/>
    <w:rsid w:val="001F586B"/>
    <w:rsid w:val="001F73B2"/>
    <w:rsid w:val="0020190A"/>
    <w:rsid w:val="002041A3"/>
    <w:rsid w:val="00204388"/>
    <w:rsid w:val="00222CF3"/>
    <w:rsid w:val="00223221"/>
    <w:rsid w:val="00226DEB"/>
    <w:rsid w:val="00231156"/>
    <w:rsid w:val="00236248"/>
    <w:rsid w:val="00236B84"/>
    <w:rsid w:val="002500BA"/>
    <w:rsid w:val="00253DDA"/>
    <w:rsid w:val="00263211"/>
    <w:rsid w:val="00271C5B"/>
    <w:rsid w:val="002771C3"/>
    <w:rsid w:val="0028351B"/>
    <w:rsid w:val="00287F84"/>
    <w:rsid w:val="002902AB"/>
    <w:rsid w:val="002917D3"/>
    <w:rsid w:val="002A2F68"/>
    <w:rsid w:val="002B3B59"/>
    <w:rsid w:val="002B54EC"/>
    <w:rsid w:val="002B6A85"/>
    <w:rsid w:val="002E12DD"/>
    <w:rsid w:val="002F03C8"/>
    <w:rsid w:val="002F71F6"/>
    <w:rsid w:val="0030611B"/>
    <w:rsid w:val="003234C0"/>
    <w:rsid w:val="003257BE"/>
    <w:rsid w:val="00330531"/>
    <w:rsid w:val="00335D32"/>
    <w:rsid w:val="0033601D"/>
    <w:rsid w:val="00340FC9"/>
    <w:rsid w:val="00343371"/>
    <w:rsid w:val="00356AE6"/>
    <w:rsid w:val="003619B4"/>
    <w:rsid w:val="0036220C"/>
    <w:rsid w:val="0036237C"/>
    <w:rsid w:val="00366D7B"/>
    <w:rsid w:val="00375BCF"/>
    <w:rsid w:val="003772E1"/>
    <w:rsid w:val="00383DB4"/>
    <w:rsid w:val="00391E5B"/>
    <w:rsid w:val="003976DF"/>
    <w:rsid w:val="003A1D04"/>
    <w:rsid w:val="003B684C"/>
    <w:rsid w:val="003C4154"/>
    <w:rsid w:val="003C4C44"/>
    <w:rsid w:val="003C7A14"/>
    <w:rsid w:val="003E0A9C"/>
    <w:rsid w:val="003E309A"/>
    <w:rsid w:val="003E3C2C"/>
    <w:rsid w:val="003F09EE"/>
    <w:rsid w:val="004028DE"/>
    <w:rsid w:val="00405B0C"/>
    <w:rsid w:val="00410767"/>
    <w:rsid w:val="00420168"/>
    <w:rsid w:val="004248E2"/>
    <w:rsid w:val="00424FB6"/>
    <w:rsid w:val="004301EA"/>
    <w:rsid w:val="0043630B"/>
    <w:rsid w:val="004372F6"/>
    <w:rsid w:val="00437385"/>
    <w:rsid w:val="00437772"/>
    <w:rsid w:val="00444AA2"/>
    <w:rsid w:val="0045459B"/>
    <w:rsid w:val="00461AA5"/>
    <w:rsid w:val="00464690"/>
    <w:rsid w:val="00465671"/>
    <w:rsid w:val="004750A5"/>
    <w:rsid w:val="0047766D"/>
    <w:rsid w:val="00490897"/>
    <w:rsid w:val="00495048"/>
    <w:rsid w:val="004965FC"/>
    <w:rsid w:val="004A2298"/>
    <w:rsid w:val="004A560E"/>
    <w:rsid w:val="004B0E9A"/>
    <w:rsid w:val="004B14B3"/>
    <w:rsid w:val="004B3B3A"/>
    <w:rsid w:val="004D0B79"/>
    <w:rsid w:val="004E488F"/>
    <w:rsid w:val="004E628C"/>
    <w:rsid w:val="004F4A1E"/>
    <w:rsid w:val="004F4BF7"/>
    <w:rsid w:val="00504B9B"/>
    <w:rsid w:val="0050586A"/>
    <w:rsid w:val="00516A6E"/>
    <w:rsid w:val="005219E8"/>
    <w:rsid w:val="005234F5"/>
    <w:rsid w:val="005239FE"/>
    <w:rsid w:val="00533427"/>
    <w:rsid w:val="00551135"/>
    <w:rsid w:val="0056331C"/>
    <w:rsid w:val="0057065B"/>
    <w:rsid w:val="00583AAD"/>
    <w:rsid w:val="005862AA"/>
    <w:rsid w:val="00586AEF"/>
    <w:rsid w:val="005A6D03"/>
    <w:rsid w:val="005A7DDB"/>
    <w:rsid w:val="005B5A14"/>
    <w:rsid w:val="005B76A5"/>
    <w:rsid w:val="005E7B16"/>
    <w:rsid w:val="005F16FD"/>
    <w:rsid w:val="005F6061"/>
    <w:rsid w:val="00600C3C"/>
    <w:rsid w:val="00601E0B"/>
    <w:rsid w:val="0060210B"/>
    <w:rsid w:val="00602C05"/>
    <w:rsid w:val="00630F82"/>
    <w:rsid w:val="00631100"/>
    <w:rsid w:val="0063132C"/>
    <w:rsid w:val="0063154E"/>
    <w:rsid w:val="00633014"/>
    <w:rsid w:val="0064362B"/>
    <w:rsid w:val="00654B5D"/>
    <w:rsid w:val="00665956"/>
    <w:rsid w:val="006677EB"/>
    <w:rsid w:val="00681208"/>
    <w:rsid w:val="006A03B3"/>
    <w:rsid w:val="006A52CE"/>
    <w:rsid w:val="006C0F2D"/>
    <w:rsid w:val="006C1E8E"/>
    <w:rsid w:val="006C370F"/>
    <w:rsid w:val="006C538A"/>
    <w:rsid w:val="006D5FB8"/>
    <w:rsid w:val="006E1B34"/>
    <w:rsid w:val="006E25F4"/>
    <w:rsid w:val="006E35D9"/>
    <w:rsid w:val="006F2A0E"/>
    <w:rsid w:val="00700928"/>
    <w:rsid w:val="00701BB4"/>
    <w:rsid w:val="00704204"/>
    <w:rsid w:val="00711755"/>
    <w:rsid w:val="00714357"/>
    <w:rsid w:val="007220A7"/>
    <w:rsid w:val="00724C72"/>
    <w:rsid w:val="0072721A"/>
    <w:rsid w:val="007365A2"/>
    <w:rsid w:val="007407EC"/>
    <w:rsid w:val="007455D1"/>
    <w:rsid w:val="00750BAD"/>
    <w:rsid w:val="0076001F"/>
    <w:rsid w:val="0076743D"/>
    <w:rsid w:val="00776EA4"/>
    <w:rsid w:val="00782127"/>
    <w:rsid w:val="007A0445"/>
    <w:rsid w:val="007A64B9"/>
    <w:rsid w:val="007A64D5"/>
    <w:rsid w:val="007B24DA"/>
    <w:rsid w:val="007B4909"/>
    <w:rsid w:val="007C79B6"/>
    <w:rsid w:val="007E5C4C"/>
    <w:rsid w:val="00803DD3"/>
    <w:rsid w:val="0080598F"/>
    <w:rsid w:val="00805CB2"/>
    <w:rsid w:val="00810F0D"/>
    <w:rsid w:val="008126C1"/>
    <w:rsid w:val="00814D76"/>
    <w:rsid w:val="0081551B"/>
    <w:rsid w:val="0082249C"/>
    <w:rsid w:val="0083645C"/>
    <w:rsid w:val="00855461"/>
    <w:rsid w:val="008668E2"/>
    <w:rsid w:val="008708C5"/>
    <w:rsid w:val="008751B1"/>
    <w:rsid w:val="00891BF2"/>
    <w:rsid w:val="008A4B56"/>
    <w:rsid w:val="008B7FF1"/>
    <w:rsid w:val="008D314D"/>
    <w:rsid w:val="008F0706"/>
    <w:rsid w:val="008F4992"/>
    <w:rsid w:val="008F5DFF"/>
    <w:rsid w:val="009009DE"/>
    <w:rsid w:val="00906D1A"/>
    <w:rsid w:val="009165F0"/>
    <w:rsid w:val="00920320"/>
    <w:rsid w:val="009333FE"/>
    <w:rsid w:val="009363D6"/>
    <w:rsid w:val="009376DF"/>
    <w:rsid w:val="00940B39"/>
    <w:rsid w:val="00941D51"/>
    <w:rsid w:val="0094325F"/>
    <w:rsid w:val="0094634E"/>
    <w:rsid w:val="009469D4"/>
    <w:rsid w:val="00957167"/>
    <w:rsid w:val="0096001A"/>
    <w:rsid w:val="00967866"/>
    <w:rsid w:val="0097100A"/>
    <w:rsid w:val="00971DAA"/>
    <w:rsid w:val="00971ED2"/>
    <w:rsid w:val="009730D9"/>
    <w:rsid w:val="0098202B"/>
    <w:rsid w:val="009836D2"/>
    <w:rsid w:val="009844E1"/>
    <w:rsid w:val="00985E46"/>
    <w:rsid w:val="009901FF"/>
    <w:rsid w:val="009A188C"/>
    <w:rsid w:val="009A2350"/>
    <w:rsid w:val="009B1905"/>
    <w:rsid w:val="009B3765"/>
    <w:rsid w:val="009D18F6"/>
    <w:rsid w:val="009F57DC"/>
    <w:rsid w:val="009F6BF1"/>
    <w:rsid w:val="009F7CCB"/>
    <w:rsid w:val="00A031A3"/>
    <w:rsid w:val="00A115F1"/>
    <w:rsid w:val="00A26465"/>
    <w:rsid w:val="00A31CD3"/>
    <w:rsid w:val="00A41A9C"/>
    <w:rsid w:val="00A452DE"/>
    <w:rsid w:val="00A60FE9"/>
    <w:rsid w:val="00A618E5"/>
    <w:rsid w:val="00A619BF"/>
    <w:rsid w:val="00A62D18"/>
    <w:rsid w:val="00A642E4"/>
    <w:rsid w:val="00A661D9"/>
    <w:rsid w:val="00A81789"/>
    <w:rsid w:val="00AA0E95"/>
    <w:rsid w:val="00AA3B70"/>
    <w:rsid w:val="00AB716F"/>
    <w:rsid w:val="00AC1217"/>
    <w:rsid w:val="00AC76E3"/>
    <w:rsid w:val="00AD78F1"/>
    <w:rsid w:val="00AE0DBD"/>
    <w:rsid w:val="00AE36CB"/>
    <w:rsid w:val="00AE440C"/>
    <w:rsid w:val="00AE74AA"/>
    <w:rsid w:val="00AF0651"/>
    <w:rsid w:val="00AF1C31"/>
    <w:rsid w:val="00AF4AFF"/>
    <w:rsid w:val="00AF7C2C"/>
    <w:rsid w:val="00B07A5E"/>
    <w:rsid w:val="00B101C1"/>
    <w:rsid w:val="00B11B32"/>
    <w:rsid w:val="00B13BC1"/>
    <w:rsid w:val="00B27DEF"/>
    <w:rsid w:val="00B301BB"/>
    <w:rsid w:val="00B363B7"/>
    <w:rsid w:val="00B5798D"/>
    <w:rsid w:val="00B6769C"/>
    <w:rsid w:val="00B76085"/>
    <w:rsid w:val="00B77469"/>
    <w:rsid w:val="00B83ABF"/>
    <w:rsid w:val="00BA68FF"/>
    <w:rsid w:val="00BB27C8"/>
    <w:rsid w:val="00BC3D0A"/>
    <w:rsid w:val="00BD5C6E"/>
    <w:rsid w:val="00BD7E18"/>
    <w:rsid w:val="00BE25F0"/>
    <w:rsid w:val="00BF70DC"/>
    <w:rsid w:val="00C02214"/>
    <w:rsid w:val="00C209D5"/>
    <w:rsid w:val="00C344FA"/>
    <w:rsid w:val="00C635DC"/>
    <w:rsid w:val="00C63C6B"/>
    <w:rsid w:val="00C6586B"/>
    <w:rsid w:val="00C75DC5"/>
    <w:rsid w:val="00C77228"/>
    <w:rsid w:val="00C83EED"/>
    <w:rsid w:val="00C85262"/>
    <w:rsid w:val="00C862A9"/>
    <w:rsid w:val="00C873C4"/>
    <w:rsid w:val="00CA0053"/>
    <w:rsid w:val="00CA15F1"/>
    <w:rsid w:val="00CA3992"/>
    <w:rsid w:val="00CA5C14"/>
    <w:rsid w:val="00CA5F08"/>
    <w:rsid w:val="00CA67E9"/>
    <w:rsid w:val="00CB110A"/>
    <w:rsid w:val="00CB5DCA"/>
    <w:rsid w:val="00CC4502"/>
    <w:rsid w:val="00CC473A"/>
    <w:rsid w:val="00CC4BB0"/>
    <w:rsid w:val="00CC60D7"/>
    <w:rsid w:val="00CD10A2"/>
    <w:rsid w:val="00CD7078"/>
    <w:rsid w:val="00CF098D"/>
    <w:rsid w:val="00CF6A91"/>
    <w:rsid w:val="00D00409"/>
    <w:rsid w:val="00D03108"/>
    <w:rsid w:val="00D065E8"/>
    <w:rsid w:val="00D329E5"/>
    <w:rsid w:val="00D516DF"/>
    <w:rsid w:val="00D52CE0"/>
    <w:rsid w:val="00D54668"/>
    <w:rsid w:val="00D575EA"/>
    <w:rsid w:val="00D611D5"/>
    <w:rsid w:val="00D616F7"/>
    <w:rsid w:val="00D80FDA"/>
    <w:rsid w:val="00D8116D"/>
    <w:rsid w:val="00D863ED"/>
    <w:rsid w:val="00D90A10"/>
    <w:rsid w:val="00D91B3D"/>
    <w:rsid w:val="00D928CB"/>
    <w:rsid w:val="00D93A63"/>
    <w:rsid w:val="00D9483A"/>
    <w:rsid w:val="00D956B7"/>
    <w:rsid w:val="00DA2152"/>
    <w:rsid w:val="00DA57BA"/>
    <w:rsid w:val="00DC3A35"/>
    <w:rsid w:val="00DC3E94"/>
    <w:rsid w:val="00DC4ED7"/>
    <w:rsid w:val="00DE4D9F"/>
    <w:rsid w:val="00E1061C"/>
    <w:rsid w:val="00E10B2F"/>
    <w:rsid w:val="00E2314E"/>
    <w:rsid w:val="00E243FC"/>
    <w:rsid w:val="00E30622"/>
    <w:rsid w:val="00E45DA7"/>
    <w:rsid w:val="00E472CC"/>
    <w:rsid w:val="00E52203"/>
    <w:rsid w:val="00E72744"/>
    <w:rsid w:val="00E84BFD"/>
    <w:rsid w:val="00E865D0"/>
    <w:rsid w:val="00E86FDF"/>
    <w:rsid w:val="00E953B0"/>
    <w:rsid w:val="00E95EAB"/>
    <w:rsid w:val="00EA52DE"/>
    <w:rsid w:val="00EA6CAD"/>
    <w:rsid w:val="00ED524E"/>
    <w:rsid w:val="00ED52F3"/>
    <w:rsid w:val="00EE2117"/>
    <w:rsid w:val="00EE51B7"/>
    <w:rsid w:val="00EF3A39"/>
    <w:rsid w:val="00EF6ACB"/>
    <w:rsid w:val="00F02189"/>
    <w:rsid w:val="00F101F8"/>
    <w:rsid w:val="00F14D3A"/>
    <w:rsid w:val="00F204BB"/>
    <w:rsid w:val="00F22879"/>
    <w:rsid w:val="00F247F5"/>
    <w:rsid w:val="00F41DED"/>
    <w:rsid w:val="00F44090"/>
    <w:rsid w:val="00F5246A"/>
    <w:rsid w:val="00F600CB"/>
    <w:rsid w:val="00F752B4"/>
    <w:rsid w:val="00F81A7F"/>
    <w:rsid w:val="00F974B5"/>
    <w:rsid w:val="00FA2C07"/>
    <w:rsid w:val="00FA3797"/>
    <w:rsid w:val="00FB4822"/>
    <w:rsid w:val="00FC21EA"/>
    <w:rsid w:val="00FC2D24"/>
    <w:rsid w:val="00FD6EA6"/>
    <w:rsid w:val="00FD6EB7"/>
    <w:rsid w:val="00FE3393"/>
    <w:rsid w:val="00FE5ECD"/>
    <w:rsid w:val="00FF20F3"/>
    <w:rsid w:val="00FF48AB"/>
    <w:rsid w:val="24D4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21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/>
    <w:lsdException w:name="footnote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widowControl w:val="0"/>
      <w:numPr>
        <w:ilvl w:val="4"/>
        <w:numId w:val="1"/>
      </w:numPr>
      <w:shd w:val="clear" w:color="auto" w:fill="FFFFFF"/>
      <w:autoSpaceDE w:val="0"/>
      <w:autoSpaceDN w:val="0"/>
      <w:adjustRightInd w:val="0"/>
      <w:jc w:val="center"/>
      <w:outlineLvl w:val="4"/>
    </w:pPr>
    <w:rPr>
      <w:b/>
      <w:bCs/>
      <w:color w:val="000000"/>
      <w:spacing w:val="-3"/>
      <w:sz w:val="29"/>
      <w:szCs w:val="29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</w:style>
  <w:style w:type="paragraph" w:styleId="7">
    <w:name w:val="heading 7"/>
    <w:basedOn w:val="a"/>
    <w:next w:val="a"/>
    <w:link w:val="70"/>
    <w:qFormat/>
    <w:pPr>
      <w:keepNext/>
      <w:widowControl w:val="0"/>
      <w:numPr>
        <w:ilvl w:val="6"/>
        <w:numId w:val="1"/>
      </w:numPr>
      <w:shd w:val="clear" w:color="auto" w:fill="FFFFFF"/>
      <w:autoSpaceDE w:val="0"/>
      <w:autoSpaceDN w:val="0"/>
      <w:adjustRightInd w:val="0"/>
      <w:spacing w:before="36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 w:val="0"/>
      <w:numPr>
        <w:ilvl w:val="7"/>
        <w:numId w:val="1"/>
      </w:numPr>
      <w:shd w:val="clear" w:color="auto" w:fill="FFFFFF"/>
      <w:autoSpaceDE w:val="0"/>
      <w:autoSpaceDN w:val="0"/>
      <w:adjustRightInd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Indent"/>
    <w:basedOn w:val="a"/>
    <w:uiPriority w:val="99"/>
    <w:pPr>
      <w:ind w:left="720"/>
    </w:pPr>
    <w:rPr>
      <w:szCs w:val="20"/>
      <w:lang w:val="en-US" w:eastAsia="en-US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5">
    <w:name w:val="annotation text"/>
    <w:basedOn w:val="a"/>
    <w:link w:val="a6"/>
    <w:rPr>
      <w:sz w:val="20"/>
      <w:szCs w:val="20"/>
    </w:rPr>
  </w:style>
  <w:style w:type="paragraph" w:styleId="a7">
    <w:name w:val="annotation subject"/>
    <w:basedOn w:val="a5"/>
    <w:next w:val="a5"/>
    <w:link w:val="a8"/>
    <w:rPr>
      <w:b/>
      <w:bCs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rFonts w:ascii="Arial" w:hAnsi="Arial"/>
      <w:sz w:val="16"/>
    </w:rPr>
  </w:style>
  <w:style w:type="paragraph" w:styleId="ab">
    <w:name w:val="Body Text"/>
    <w:basedOn w:val="a"/>
    <w:link w:val="ac"/>
    <w:pPr>
      <w:spacing w:after="120"/>
    </w:pPr>
  </w:style>
  <w:style w:type="paragraph" w:styleId="ad">
    <w:name w:val="Body Text Indent"/>
    <w:basedOn w:val="a"/>
    <w:pPr>
      <w:spacing w:after="120"/>
      <w:ind w:left="283"/>
    </w:p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paragraph" w:styleId="af0">
    <w:name w:val="Subtitle"/>
    <w:basedOn w:val="a"/>
    <w:link w:val="af1"/>
    <w:qFormat/>
    <w:pPr>
      <w:jc w:val="center"/>
    </w:pPr>
    <w:rPr>
      <w:b/>
      <w:szCs w:val="20"/>
    </w:rPr>
  </w:style>
  <w:style w:type="character" w:styleId="af2">
    <w:name w:val="annotation reference"/>
    <w:rPr>
      <w:sz w:val="16"/>
      <w:szCs w:val="16"/>
    </w:rPr>
  </w:style>
  <w:style w:type="character" w:styleId="af3">
    <w:name w:val="Hyperlink"/>
    <w:basedOn w:val="a0"/>
    <w:uiPriority w:val="99"/>
    <w:unhideWhenUsed/>
    <w:rPr>
      <w:color w:val="0000FF"/>
      <w:u w:val="single"/>
    </w:rPr>
  </w:style>
  <w:style w:type="character" w:styleId="af4">
    <w:name w:val="page number"/>
    <w:rPr>
      <w:rFonts w:cs="Times New Roman"/>
    </w:rPr>
  </w:style>
  <w:style w:type="table" w:styleId="af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qFormat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qFormat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qFormat/>
    <w:locked/>
    <w:rPr>
      <w:rFonts w:ascii="Cambria" w:hAnsi="Cambria" w:cs="Times New Roman"/>
      <w:sz w:val="22"/>
      <w:szCs w:val="22"/>
    </w:rPr>
  </w:style>
  <w:style w:type="character" w:customStyle="1" w:styleId="ac">
    <w:name w:val="Основной текст Знак"/>
    <w:link w:val="ab"/>
    <w:semiHidden/>
    <w:qFormat/>
    <w:locked/>
    <w:rPr>
      <w:rFonts w:cs="Times New Roman"/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4"/>
      <w:szCs w:val="24"/>
    </w:rPr>
  </w:style>
  <w:style w:type="paragraph" w:customStyle="1" w:styleId="af6">
    <w:name w:val="Преабмула"/>
    <w:basedOn w:val="a"/>
    <w:pPr>
      <w:spacing w:line="360" w:lineRule="auto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af1">
    <w:name w:val="Подзаголовок Знак"/>
    <w:link w:val="af0"/>
    <w:locked/>
    <w:rPr>
      <w:rFonts w:cs="Times New Roman"/>
      <w:b/>
      <w:sz w:val="24"/>
      <w:lang w:val="ru-RU" w:eastAsia="ru-RU" w:bidi="ar-SA"/>
    </w:rPr>
  </w:style>
  <w:style w:type="paragraph" w:customStyle="1" w:styleId="Nonformat">
    <w:name w:val="Nonformat"/>
    <w:basedOn w:val="a"/>
    <w:rPr>
      <w:rFonts w:ascii="Consultant" w:hAnsi="Consultant"/>
      <w:sz w:val="20"/>
      <w:szCs w:val="20"/>
    </w:rPr>
  </w:style>
  <w:style w:type="character" w:customStyle="1" w:styleId="aa">
    <w:name w:val="Верхний колонтитул Знак"/>
    <w:link w:val="a9"/>
    <w:uiPriority w:val="99"/>
    <w:rPr>
      <w:rFonts w:ascii="Arial" w:hAnsi="Arial"/>
      <w:sz w:val="16"/>
      <w:szCs w:val="24"/>
      <w:lang w:val="ru-RU" w:eastAsia="ru-RU" w:bidi="ar-SA"/>
    </w:rPr>
  </w:style>
  <w:style w:type="paragraph" w:customStyle="1" w:styleId="af7">
    <w:name w:val="Конфиденциально"/>
    <w:basedOn w:val="a9"/>
    <w:pPr>
      <w:tabs>
        <w:tab w:val="clear" w:pos="4677"/>
        <w:tab w:val="clear" w:pos="9355"/>
      </w:tabs>
      <w:jc w:val="right"/>
    </w:pPr>
    <w:rPr>
      <w:color w:val="FF0000"/>
      <w:sz w:val="20"/>
    </w:rPr>
  </w:style>
  <w:style w:type="character" w:customStyle="1" w:styleId="a6">
    <w:name w:val="Текст примечания Знак"/>
    <w:link w:val="a5"/>
    <w:rPr>
      <w:lang w:val="ru-RU" w:eastAsia="ru-RU"/>
    </w:rPr>
  </w:style>
  <w:style w:type="character" w:customStyle="1" w:styleId="a8">
    <w:name w:val="Тема примечания Знак"/>
    <w:link w:val="a7"/>
    <w:qFormat/>
    <w:rPr>
      <w:b/>
      <w:bCs/>
      <w:lang w:val="ru-RU" w:eastAsia="ru-RU"/>
    </w:rPr>
  </w:style>
  <w:style w:type="paragraph" w:customStyle="1" w:styleId="11">
    <w:name w:val="Обычный1"/>
    <w:rPr>
      <w:rFonts w:eastAsia="Times New Roman"/>
      <w:color w:val="000000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1946F37-EB72-490E-9EB7-C11A4170C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2561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Соглашение о конфиденциальности</dc:subject>
  <dc:creator/>
  <cp:lastModifiedBy/>
  <cp:revision>1</cp:revision>
  <dcterms:created xsi:type="dcterms:W3CDTF">2026-03-04T13:05:00Z</dcterms:created>
  <dcterms:modified xsi:type="dcterms:W3CDTF">2026-03-04T13:05:00Z</dcterms:modified>
  <cp:category>Конфиденциальность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